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F1E" w:rsidRPr="00FF6063" w:rsidRDefault="00EE2F1E">
      <w:pPr>
        <w:spacing w:line="240" w:lineRule="auto"/>
        <w:rPr>
          <w:rFonts w:ascii="Times New Roman" w:eastAsia="Times New Roman" w:hAnsi="Times New Roman" w:cs="Times New Roman"/>
          <w:color w:val="000000" w:themeColor="text1"/>
          <w:sz w:val="24"/>
          <w:szCs w:val="24"/>
        </w:rPr>
      </w:pPr>
    </w:p>
    <w:p w:rsidR="00EE2F1E" w:rsidRPr="00FF6063" w:rsidRDefault="00EE2F1E">
      <w:pPr>
        <w:spacing w:line="240" w:lineRule="auto"/>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24"/>
          <w:szCs w:val="24"/>
        </w:rPr>
      </w:pPr>
    </w:p>
    <w:p w:rsidR="00EE2F1E" w:rsidRPr="00FF6063" w:rsidRDefault="00EE2F1E">
      <w:pPr>
        <w:spacing w:line="240" w:lineRule="auto"/>
        <w:jc w:val="center"/>
        <w:rPr>
          <w:rFonts w:ascii="Times New Roman" w:eastAsia="Times New Roman" w:hAnsi="Times New Roman" w:cs="Times New Roman"/>
          <w:color w:val="000000" w:themeColor="text1"/>
          <w:sz w:val="36"/>
          <w:szCs w:val="36"/>
          <w:u w:val="single"/>
        </w:rPr>
      </w:pPr>
    </w:p>
    <w:p w:rsidR="00EE2F1E" w:rsidRPr="00FF6063" w:rsidRDefault="00EE2F1E">
      <w:pPr>
        <w:spacing w:line="240" w:lineRule="auto"/>
        <w:jc w:val="center"/>
        <w:rPr>
          <w:rFonts w:ascii="Times New Roman" w:eastAsia="Times New Roman" w:hAnsi="Times New Roman" w:cs="Times New Roman"/>
          <w:color w:val="000000" w:themeColor="text1"/>
          <w:sz w:val="36"/>
          <w:szCs w:val="36"/>
          <w:u w:val="single"/>
        </w:rPr>
      </w:pPr>
    </w:p>
    <w:p w:rsidR="00EE2F1E" w:rsidRPr="00FF6063" w:rsidRDefault="00EE2F1E">
      <w:pPr>
        <w:spacing w:line="240" w:lineRule="auto"/>
        <w:jc w:val="center"/>
        <w:rPr>
          <w:rFonts w:ascii="Times New Roman" w:eastAsia="Times New Roman" w:hAnsi="Times New Roman" w:cs="Times New Roman"/>
          <w:color w:val="000000" w:themeColor="text1"/>
          <w:sz w:val="36"/>
          <w:szCs w:val="36"/>
          <w:u w:val="single"/>
        </w:rPr>
      </w:pPr>
    </w:p>
    <w:p w:rsidR="00EE2F1E" w:rsidRPr="00FF6063" w:rsidRDefault="00EE2F1E">
      <w:pPr>
        <w:spacing w:line="240" w:lineRule="auto"/>
        <w:jc w:val="center"/>
        <w:rPr>
          <w:rFonts w:ascii="Times New Roman" w:eastAsia="Times New Roman" w:hAnsi="Times New Roman" w:cs="Times New Roman"/>
          <w:color w:val="000000" w:themeColor="text1"/>
          <w:sz w:val="36"/>
          <w:szCs w:val="36"/>
          <w:u w:val="single"/>
        </w:rPr>
      </w:pPr>
    </w:p>
    <w:p w:rsidR="00EE2F1E" w:rsidRPr="00FF6063" w:rsidRDefault="00EE2F1E">
      <w:pPr>
        <w:spacing w:line="240" w:lineRule="auto"/>
        <w:jc w:val="center"/>
        <w:rPr>
          <w:rFonts w:ascii="Times New Roman" w:eastAsia="Times New Roman" w:hAnsi="Times New Roman" w:cs="Times New Roman"/>
          <w:color w:val="000000" w:themeColor="text1"/>
          <w:sz w:val="36"/>
          <w:szCs w:val="36"/>
          <w:u w:val="single"/>
        </w:rPr>
      </w:pPr>
    </w:p>
    <w:p w:rsidR="00EE2F1E" w:rsidRPr="00FF6063" w:rsidRDefault="00242046" w:rsidP="00252353">
      <w:pPr>
        <w:spacing w:line="240" w:lineRule="auto"/>
        <w:jc w:val="center"/>
        <w:outlineLvl w:val="0"/>
        <w:rPr>
          <w:color w:val="000000" w:themeColor="text1"/>
        </w:rPr>
      </w:pPr>
      <w:r w:rsidRPr="00FF6063">
        <w:rPr>
          <w:color w:val="000000" w:themeColor="text1"/>
        </w:rPr>
        <w:t>Global Suicidality: Indicators in Substance Abuse</w:t>
      </w:r>
    </w:p>
    <w:p w:rsidR="00EE2F1E" w:rsidRPr="00FF6063" w:rsidRDefault="00EE2F1E">
      <w:pPr>
        <w:spacing w:line="240" w:lineRule="auto"/>
        <w:jc w:val="center"/>
        <w:rPr>
          <w:rFonts w:ascii="Roboto" w:eastAsia="Roboto" w:hAnsi="Roboto" w:cs="Roboto"/>
          <w:color w:val="000000" w:themeColor="text1"/>
          <w:sz w:val="18"/>
          <w:szCs w:val="18"/>
        </w:rPr>
      </w:pPr>
    </w:p>
    <w:p w:rsidR="00EE2F1E" w:rsidRPr="00FF6063" w:rsidRDefault="00EE2F1E">
      <w:pPr>
        <w:spacing w:line="240" w:lineRule="auto"/>
        <w:jc w:val="center"/>
        <w:rPr>
          <w:rFonts w:ascii="Roboto" w:eastAsia="Roboto" w:hAnsi="Roboto" w:cs="Roboto"/>
          <w:color w:val="000000" w:themeColor="text1"/>
          <w:sz w:val="18"/>
          <w:szCs w:val="18"/>
        </w:rPr>
      </w:pPr>
    </w:p>
    <w:p w:rsidR="00EE2F1E" w:rsidRPr="00FF6063" w:rsidRDefault="00EE2F1E">
      <w:pPr>
        <w:spacing w:line="240" w:lineRule="auto"/>
        <w:jc w:val="center"/>
        <w:rPr>
          <w:rFonts w:ascii="Roboto" w:eastAsia="Roboto" w:hAnsi="Roboto" w:cs="Roboto"/>
          <w:color w:val="000000" w:themeColor="text1"/>
          <w:sz w:val="18"/>
          <w:szCs w:val="18"/>
        </w:rPr>
      </w:pPr>
    </w:p>
    <w:p w:rsidR="00EE2F1E" w:rsidRPr="00FF6063" w:rsidRDefault="00EE2F1E">
      <w:pPr>
        <w:spacing w:line="240" w:lineRule="auto"/>
        <w:jc w:val="center"/>
        <w:rPr>
          <w:rFonts w:ascii="Roboto" w:eastAsia="Roboto" w:hAnsi="Roboto" w:cs="Roboto"/>
          <w:color w:val="000000" w:themeColor="text1"/>
          <w:sz w:val="18"/>
          <w:szCs w:val="18"/>
        </w:rPr>
      </w:pPr>
    </w:p>
    <w:p w:rsidR="00EE2F1E" w:rsidRPr="00FF6063" w:rsidRDefault="00EE2F1E">
      <w:pPr>
        <w:spacing w:line="240" w:lineRule="auto"/>
        <w:jc w:val="center"/>
        <w:rPr>
          <w:rFonts w:ascii="Roboto" w:eastAsia="Roboto" w:hAnsi="Roboto" w:cs="Roboto"/>
          <w:color w:val="000000" w:themeColor="text1"/>
          <w:sz w:val="18"/>
          <w:szCs w:val="18"/>
        </w:rPr>
      </w:pPr>
    </w:p>
    <w:p w:rsidR="00EE2F1E" w:rsidRPr="00FF6063" w:rsidRDefault="00242046" w:rsidP="00252353">
      <w:pPr>
        <w:spacing w:line="240" w:lineRule="auto"/>
        <w:outlineLvl w:val="0"/>
        <w:rPr>
          <w:b/>
          <w:color w:val="000000" w:themeColor="text1"/>
        </w:rPr>
      </w:pPr>
      <w:r w:rsidRPr="00FF6063">
        <w:rPr>
          <w:b/>
          <w:color w:val="000000" w:themeColor="text1"/>
        </w:rPr>
        <w:t>Abstract</w:t>
      </w:r>
    </w:p>
    <w:p w:rsidR="00EE2F1E" w:rsidRPr="00FF6063" w:rsidRDefault="00090E25" w:rsidP="005C1E44">
      <w:pPr>
        <w:spacing w:line="240" w:lineRule="auto"/>
        <w:ind w:firstLine="720"/>
        <w:rPr>
          <w:color w:val="000000" w:themeColor="text1"/>
        </w:rPr>
      </w:pPr>
      <w:r>
        <w:rPr>
          <w:color w:val="000000" w:themeColor="text1"/>
        </w:rPr>
        <w:t>Drug-related mortalities</w:t>
      </w:r>
      <w:r w:rsidR="00242046" w:rsidRPr="00FF6063">
        <w:rPr>
          <w:color w:val="000000" w:themeColor="text1"/>
        </w:rPr>
        <w:t xml:space="preserve"> </w:t>
      </w:r>
      <w:r w:rsidR="00D16E97">
        <w:rPr>
          <w:color w:val="000000" w:themeColor="text1"/>
        </w:rPr>
        <w:t xml:space="preserve">and suicides are </w:t>
      </w:r>
      <w:r>
        <w:rPr>
          <w:color w:val="000000" w:themeColor="text1"/>
        </w:rPr>
        <w:t xml:space="preserve">currently </w:t>
      </w:r>
      <w:r w:rsidR="00002ABC">
        <w:rPr>
          <w:color w:val="000000" w:themeColor="text1"/>
        </w:rPr>
        <w:t xml:space="preserve">major </w:t>
      </w:r>
      <w:r w:rsidR="00D16E97">
        <w:rPr>
          <w:color w:val="000000" w:themeColor="text1"/>
        </w:rPr>
        <w:t xml:space="preserve">causes of </w:t>
      </w:r>
      <w:r w:rsidR="00242046" w:rsidRPr="00FF6063">
        <w:rPr>
          <w:color w:val="000000" w:themeColor="text1"/>
        </w:rPr>
        <w:t xml:space="preserve">death in the United States. </w:t>
      </w:r>
      <w:r w:rsidR="00037AED">
        <w:rPr>
          <w:color w:val="000000" w:themeColor="text1"/>
        </w:rPr>
        <w:t>Given</w:t>
      </w:r>
      <w:r w:rsidR="00242046" w:rsidRPr="00FF6063">
        <w:rPr>
          <w:color w:val="000000" w:themeColor="text1"/>
        </w:rPr>
        <w:t xml:space="preserve"> the health implications of drug use, we sought to </w:t>
      </w:r>
      <w:r w:rsidR="00002ABC">
        <w:rPr>
          <w:color w:val="000000" w:themeColor="text1"/>
        </w:rPr>
        <w:t>explore the</w:t>
      </w:r>
      <w:r w:rsidR="00242046" w:rsidRPr="00FF6063">
        <w:rPr>
          <w:color w:val="000000" w:themeColor="text1"/>
        </w:rPr>
        <w:t xml:space="preserve"> relationship between substance use and suicidality </w:t>
      </w:r>
      <w:r w:rsidR="00002ABC">
        <w:rPr>
          <w:color w:val="000000" w:themeColor="text1"/>
        </w:rPr>
        <w:t>using country-level data</w:t>
      </w:r>
      <w:r w:rsidR="00242046" w:rsidRPr="00FF6063">
        <w:rPr>
          <w:color w:val="000000" w:themeColor="text1"/>
        </w:rPr>
        <w:t>. Substance abuse</w:t>
      </w:r>
      <w:r w:rsidR="00002ABC">
        <w:rPr>
          <w:color w:val="000000" w:themeColor="text1"/>
        </w:rPr>
        <w:t>-</w:t>
      </w:r>
      <w:r w:rsidR="00242046" w:rsidRPr="00FF6063">
        <w:rPr>
          <w:color w:val="000000" w:themeColor="text1"/>
        </w:rPr>
        <w:t xml:space="preserve">related factors were </w:t>
      </w:r>
      <w:r w:rsidR="00002ABC">
        <w:rPr>
          <w:color w:val="000000" w:themeColor="text1"/>
        </w:rPr>
        <w:t xml:space="preserve">also </w:t>
      </w:r>
      <w:r w:rsidR="00242046" w:rsidRPr="00FF6063">
        <w:rPr>
          <w:color w:val="000000" w:themeColor="text1"/>
        </w:rPr>
        <w:t xml:space="preserve">introduced to explore their associations with suicidality. We </w:t>
      </w:r>
      <w:r w:rsidR="00002ABC" w:rsidRPr="00FF6063">
        <w:rPr>
          <w:color w:val="000000" w:themeColor="text1"/>
        </w:rPr>
        <w:t>retrieve</w:t>
      </w:r>
      <w:r w:rsidR="00002ABC">
        <w:rPr>
          <w:color w:val="000000" w:themeColor="text1"/>
        </w:rPr>
        <w:t>d</w:t>
      </w:r>
      <w:r w:rsidR="00002ABC" w:rsidRPr="00FF6063">
        <w:rPr>
          <w:color w:val="000000" w:themeColor="text1"/>
        </w:rPr>
        <w:t xml:space="preserve"> data on a country’s</w:t>
      </w:r>
      <w:r w:rsidR="00037AED">
        <w:rPr>
          <w:color w:val="000000" w:themeColor="text1"/>
        </w:rPr>
        <w:t xml:space="preserve"> suicide rate (our response variable of interest), alcohol consumption, and</w:t>
      </w:r>
      <w:r w:rsidR="00002ABC" w:rsidRPr="00FF6063">
        <w:rPr>
          <w:color w:val="000000" w:themeColor="text1"/>
        </w:rPr>
        <w:t xml:space="preserve"> deaths attributed directly to alcohol </w:t>
      </w:r>
      <w:r w:rsidR="00002ABC">
        <w:rPr>
          <w:color w:val="000000" w:themeColor="text1"/>
        </w:rPr>
        <w:t xml:space="preserve">and drug </w:t>
      </w:r>
      <w:r w:rsidR="00002ABC" w:rsidRPr="00FF6063">
        <w:rPr>
          <w:color w:val="000000" w:themeColor="text1"/>
        </w:rPr>
        <w:t>use disorders</w:t>
      </w:r>
      <w:r w:rsidR="00037AED">
        <w:rPr>
          <w:color w:val="000000" w:themeColor="text1"/>
        </w:rPr>
        <w:t xml:space="preserve"> </w:t>
      </w:r>
      <w:r w:rsidR="00002ABC">
        <w:rPr>
          <w:color w:val="000000" w:themeColor="text1"/>
        </w:rPr>
        <w:t xml:space="preserve">from the </w:t>
      </w:r>
      <w:r w:rsidR="00242046" w:rsidRPr="00FF6063">
        <w:rPr>
          <w:color w:val="000000" w:themeColor="text1"/>
        </w:rPr>
        <w:t>World Bank, Our World in Data, and the Global Health Observatory. After modeling the suicide rate as a function of the</w:t>
      </w:r>
      <w:r w:rsidR="00037AED">
        <w:rPr>
          <w:color w:val="000000" w:themeColor="text1"/>
        </w:rPr>
        <w:t>se</w:t>
      </w:r>
      <w:r w:rsidR="00242046" w:rsidRPr="00FF6063">
        <w:rPr>
          <w:color w:val="000000" w:themeColor="text1"/>
        </w:rPr>
        <w:t xml:space="preserve"> </w:t>
      </w:r>
      <w:r w:rsidR="00037AED">
        <w:rPr>
          <w:color w:val="000000" w:themeColor="text1"/>
        </w:rPr>
        <w:t xml:space="preserve">variables </w:t>
      </w:r>
      <w:r w:rsidR="00242046" w:rsidRPr="00FF6063">
        <w:rPr>
          <w:color w:val="000000" w:themeColor="text1"/>
        </w:rPr>
        <w:t xml:space="preserve">via linear regression analysis, </w:t>
      </w:r>
      <w:r w:rsidR="00002ABC">
        <w:rPr>
          <w:color w:val="000000" w:themeColor="text1"/>
        </w:rPr>
        <w:t>we</w:t>
      </w:r>
      <w:r w:rsidR="00242046" w:rsidRPr="00FF6063">
        <w:rPr>
          <w:color w:val="000000" w:themeColor="text1"/>
        </w:rPr>
        <w:t xml:space="preserve"> found that all th</w:t>
      </w:r>
      <w:r w:rsidR="00037AED">
        <w:rPr>
          <w:color w:val="000000" w:themeColor="text1"/>
        </w:rPr>
        <w:t>ree</w:t>
      </w:r>
      <w:r w:rsidR="00242046" w:rsidRPr="00FF6063">
        <w:rPr>
          <w:color w:val="000000" w:themeColor="text1"/>
        </w:rPr>
        <w:t xml:space="preserve"> were significant predictors of </w:t>
      </w:r>
      <w:r w:rsidR="00002ABC">
        <w:rPr>
          <w:color w:val="000000" w:themeColor="text1"/>
        </w:rPr>
        <w:t xml:space="preserve">the </w:t>
      </w:r>
      <w:r w:rsidR="00242046" w:rsidRPr="00FF6063">
        <w:rPr>
          <w:color w:val="000000" w:themeColor="text1"/>
        </w:rPr>
        <w:t>suicide rate.</w:t>
      </w:r>
      <w:bookmarkStart w:id="0" w:name="_GoBack"/>
      <w:bookmarkEnd w:id="0"/>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rFonts w:ascii="Times New Roman" w:eastAsia="Times New Roman" w:hAnsi="Times New Roman" w:cs="Times New Roman"/>
          <w:color w:val="000000" w:themeColor="text1"/>
          <w:sz w:val="24"/>
          <w:szCs w:val="24"/>
          <w:u w:val="single"/>
        </w:rPr>
      </w:pPr>
    </w:p>
    <w:p w:rsidR="00EE2F1E" w:rsidRPr="00FF6063" w:rsidRDefault="00EE2F1E">
      <w:pPr>
        <w:spacing w:line="240" w:lineRule="auto"/>
        <w:rPr>
          <w:color w:val="000000" w:themeColor="text1"/>
          <w:u w:val="single"/>
        </w:rPr>
      </w:pPr>
    </w:p>
    <w:p w:rsidR="00EE2F1E" w:rsidRPr="00FF6063" w:rsidRDefault="00EE2F1E">
      <w:pPr>
        <w:spacing w:line="240" w:lineRule="auto"/>
        <w:rPr>
          <w:b/>
          <w:color w:val="000000" w:themeColor="text1"/>
        </w:rPr>
      </w:pPr>
    </w:p>
    <w:p w:rsidR="005C1E44" w:rsidRPr="00FF6063" w:rsidRDefault="005C1E44">
      <w:pPr>
        <w:spacing w:line="240" w:lineRule="auto"/>
        <w:rPr>
          <w:b/>
          <w:color w:val="000000" w:themeColor="text1"/>
        </w:rPr>
      </w:pPr>
    </w:p>
    <w:p w:rsidR="005C1E44" w:rsidRPr="00FF6063" w:rsidRDefault="005C1E44">
      <w:pPr>
        <w:spacing w:line="240" w:lineRule="auto"/>
        <w:rPr>
          <w:b/>
          <w:color w:val="000000" w:themeColor="text1"/>
        </w:rPr>
      </w:pPr>
    </w:p>
    <w:p w:rsidR="00735C45" w:rsidRDefault="00735C45">
      <w:pPr>
        <w:spacing w:line="240" w:lineRule="auto"/>
        <w:rPr>
          <w:b/>
          <w:color w:val="000000" w:themeColor="text1"/>
        </w:rPr>
      </w:pPr>
    </w:p>
    <w:p w:rsidR="00252353" w:rsidRDefault="00252353" w:rsidP="00252353">
      <w:pPr>
        <w:spacing w:line="240" w:lineRule="auto"/>
        <w:outlineLvl w:val="0"/>
        <w:rPr>
          <w:b/>
          <w:color w:val="000000" w:themeColor="text1"/>
        </w:rPr>
      </w:pPr>
    </w:p>
    <w:p w:rsidR="00252353" w:rsidRDefault="00252353" w:rsidP="00252353">
      <w:pPr>
        <w:spacing w:line="240" w:lineRule="auto"/>
        <w:outlineLvl w:val="0"/>
        <w:rPr>
          <w:b/>
          <w:color w:val="000000" w:themeColor="text1"/>
        </w:rPr>
      </w:pPr>
    </w:p>
    <w:p w:rsidR="00EE2F1E" w:rsidRPr="00FF6063" w:rsidRDefault="00242046" w:rsidP="00252353">
      <w:pPr>
        <w:spacing w:line="240" w:lineRule="auto"/>
        <w:outlineLvl w:val="0"/>
        <w:rPr>
          <w:b/>
          <w:color w:val="000000" w:themeColor="text1"/>
        </w:rPr>
      </w:pPr>
      <w:r w:rsidRPr="00FF6063">
        <w:rPr>
          <w:b/>
          <w:color w:val="000000" w:themeColor="text1"/>
        </w:rPr>
        <w:lastRenderedPageBreak/>
        <w:t>Introduction</w:t>
      </w:r>
    </w:p>
    <w:p w:rsidR="00EE2F1E" w:rsidRDefault="00242046">
      <w:pPr>
        <w:spacing w:line="240" w:lineRule="auto"/>
        <w:ind w:firstLine="720"/>
        <w:rPr>
          <w:color w:val="000000" w:themeColor="text1"/>
        </w:rPr>
      </w:pPr>
      <w:r w:rsidRPr="00FF6063">
        <w:rPr>
          <w:color w:val="000000" w:themeColor="text1"/>
        </w:rPr>
        <w:t>What indicates a propensity toward suicide in a society? It may be tempting to predict the suicide rate of a country based on the modernization or the GDP per capita of a country. However, suicides are currently a public health crisis across many different modernized countries despite their economic prosperity, and the United States is no exception. According to the CDC [2], the suicide rate of United States citizens increased 30% from 1999 to 2016. The tragic reality is that, despite the billions of dollars invested into pharmaceuticals and the increasing awareness</w:t>
      </w:r>
      <w:r w:rsidR="00037AED">
        <w:rPr>
          <w:color w:val="000000" w:themeColor="text1"/>
        </w:rPr>
        <w:t xml:space="preserve"> of mental health issues</w:t>
      </w:r>
      <w:r w:rsidRPr="00FF6063">
        <w:rPr>
          <w:color w:val="000000" w:themeColor="text1"/>
        </w:rPr>
        <w:t>, 45,000 Americans committed suicide in 2016 alone. Unfortunately, suicidality is not the only public health crisis that the United States is facing</w:t>
      </w:r>
      <w:r w:rsidR="00037AED">
        <w:rPr>
          <w:color w:val="000000" w:themeColor="text1"/>
        </w:rPr>
        <w:t>.</w:t>
      </w:r>
      <w:r w:rsidRPr="00FF6063">
        <w:rPr>
          <w:color w:val="000000" w:themeColor="text1"/>
        </w:rPr>
        <w:t xml:space="preserve"> </w:t>
      </w:r>
      <w:r w:rsidR="00037AED">
        <w:rPr>
          <w:color w:val="000000" w:themeColor="text1"/>
        </w:rPr>
        <w:t>W</w:t>
      </w:r>
      <w:r w:rsidRPr="00FF6063">
        <w:rPr>
          <w:color w:val="000000" w:themeColor="text1"/>
        </w:rPr>
        <w:t xml:space="preserve">ith </w:t>
      </w:r>
      <w:r w:rsidR="00037AED">
        <w:rPr>
          <w:color w:val="000000" w:themeColor="text1"/>
        </w:rPr>
        <w:t xml:space="preserve">opiate-related </w:t>
      </w:r>
      <w:r w:rsidRPr="00FF6063">
        <w:rPr>
          <w:color w:val="000000" w:themeColor="text1"/>
        </w:rPr>
        <w:t xml:space="preserve">deaths </w:t>
      </w:r>
      <w:r w:rsidR="00037AED">
        <w:rPr>
          <w:color w:val="000000" w:themeColor="text1"/>
        </w:rPr>
        <w:t xml:space="preserve">on the rise </w:t>
      </w:r>
      <w:r w:rsidRPr="00FF6063">
        <w:rPr>
          <w:color w:val="000000" w:themeColor="text1"/>
        </w:rPr>
        <w:t xml:space="preserve">in the United States, the role of substance abuse is an interesting covariate to explore. However, because the opioid crisis does not exist in every country, we </w:t>
      </w:r>
      <w:r w:rsidR="00037AED">
        <w:rPr>
          <w:color w:val="000000" w:themeColor="text1"/>
        </w:rPr>
        <w:t xml:space="preserve">sought to </w:t>
      </w:r>
      <w:r w:rsidRPr="00FF6063">
        <w:rPr>
          <w:color w:val="000000" w:themeColor="text1"/>
        </w:rPr>
        <w:t>explore two categories of substance abuse-related mortalities</w:t>
      </w:r>
      <w:r w:rsidR="00037AED">
        <w:rPr>
          <w:color w:val="000000" w:themeColor="text1"/>
        </w:rPr>
        <w:t xml:space="preserve"> separately</w:t>
      </w:r>
      <w:r w:rsidR="00FE44EF">
        <w:rPr>
          <w:color w:val="000000" w:themeColor="text1"/>
        </w:rPr>
        <w:t xml:space="preserve"> – </w:t>
      </w:r>
      <w:r w:rsidRPr="00FF6063">
        <w:rPr>
          <w:color w:val="000000" w:themeColor="text1"/>
        </w:rPr>
        <w:t xml:space="preserve"> those </w:t>
      </w:r>
      <w:r w:rsidR="00037AED">
        <w:rPr>
          <w:color w:val="000000" w:themeColor="text1"/>
        </w:rPr>
        <w:t>related to</w:t>
      </w:r>
      <w:r w:rsidRPr="00FF6063">
        <w:rPr>
          <w:color w:val="000000" w:themeColor="text1"/>
        </w:rPr>
        <w:t xml:space="preserve"> alcohol disorders and those </w:t>
      </w:r>
      <w:r w:rsidR="00037AED">
        <w:rPr>
          <w:color w:val="000000" w:themeColor="text1"/>
        </w:rPr>
        <w:t>related to</w:t>
      </w:r>
      <w:r w:rsidRPr="00FF6063">
        <w:rPr>
          <w:color w:val="000000" w:themeColor="text1"/>
        </w:rPr>
        <w:t xml:space="preserve"> drug disorders</w:t>
      </w:r>
      <w:r w:rsidR="00FE44EF">
        <w:rPr>
          <w:color w:val="000000" w:themeColor="text1"/>
        </w:rPr>
        <w:t xml:space="preserve"> – as predictors of suicidality</w:t>
      </w:r>
      <w:r w:rsidR="00E85F5A">
        <w:rPr>
          <w:color w:val="000000" w:themeColor="text1"/>
        </w:rPr>
        <w:t>.</w:t>
      </w:r>
    </w:p>
    <w:p w:rsidR="007E0E53" w:rsidRPr="00FF6063" w:rsidRDefault="009D71E4">
      <w:pPr>
        <w:spacing w:line="240" w:lineRule="auto"/>
        <w:ind w:firstLine="720"/>
        <w:rPr>
          <w:color w:val="000000" w:themeColor="text1"/>
        </w:rPr>
      </w:pPr>
      <w:r>
        <w:rPr>
          <w:color w:val="000000" w:themeColor="text1"/>
        </w:rPr>
        <w:t xml:space="preserve">We included deaths from substance abuse-related disorders because we believe they measure the emotional pain that individuals are experiencing. </w:t>
      </w:r>
      <w:r w:rsidR="00F25F26">
        <w:rPr>
          <w:color w:val="000000" w:themeColor="text1"/>
        </w:rPr>
        <w:t xml:space="preserve">This </w:t>
      </w:r>
      <w:r w:rsidR="00D50763">
        <w:rPr>
          <w:color w:val="000000" w:themeColor="text1"/>
        </w:rPr>
        <w:t>harm</w:t>
      </w:r>
      <w:r w:rsidR="00F25F26">
        <w:rPr>
          <w:color w:val="000000" w:themeColor="text1"/>
        </w:rPr>
        <w:t xml:space="preserve"> is </w:t>
      </w:r>
      <w:r>
        <w:rPr>
          <w:color w:val="000000" w:themeColor="text1"/>
        </w:rPr>
        <w:t xml:space="preserve">reflected in those who </w:t>
      </w:r>
      <w:r w:rsidR="00F25F26">
        <w:rPr>
          <w:color w:val="000000" w:themeColor="text1"/>
        </w:rPr>
        <w:t xml:space="preserve">have </w:t>
      </w:r>
      <w:r>
        <w:rPr>
          <w:color w:val="000000" w:themeColor="text1"/>
        </w:rPr>
        <w:t>suffered from</w:t>
      </w:r>
      <w:r w:rsidR="00D50763">
        <w:rPr>
          <w:color w:val="000000" w:themeColor="text1"/>
        </w:rPr>
        <w:t xml:space="preserve"> </w:t>
      </w:r>
      <w:r>
        <w:rPr>
          <w:color w:val="000000" w:themeColor="text1"/>
        </w:rPr>
        <w:t xml:space="preserve">substance abuse </w:t>
      </w:r>
      <w:r w:rsidR="00F25F26">
        <w:rPr>
          <w:color w:val="000000" w:themeColor="text1"/>
        </w:rPr>
        <w:t xml:space="preserve">and also those who have suffered as a result of experiencing substance abuse in their communities. </w:t>
      </w:r>
      <w:r w:rsidR="00B5611B">
        <w:rPr>
          <w:color w:val="000000" w:themeColor="text1"/>
        </w:rPr>
        <w:t xml:space="preserve">In </w:t>
      </w:r>
      <w:r w:rsidR="00FE44EF">
        <w:rPr>
          <w:color w:val="000000" w:themeColor="text1"/>
        </w:rPr>
        <w:t>other words</w:t>
      </w:r>
      <w:r w:rsidR="00F25F26">
        <w:rPr>
          <w:color w:val="000000" w:themeColor="text1"/>
        </w:rPr>
        <w:t xml:space="preserve">, </w:t>
      </w:r>
      <w:r w:rsidR="00FE44EF">
        <w:rPr>
          <w:color w:val="000000" w:themeColor="text1"/>
        </w:rPr>
        <w:t xml:space="preserve">we hypothesized that </w:t>
      </w:r>
      <w:r w:rsidR="00F25F26">
        <w:rPr>
          <w:color w:val="000000" w:themeColor="text1"/>
        </w:rPr>
        <w:t xml:space="preserve">substance abuse </w:t>
      </w:r>
      <w:r w:rsidR="00FE44EF">
        <w:rPr>
          <w:color w:val="000000" w:themeColor="text1"/>
        </w:rPr>
        <w:t>may</w:t>
      </w:r>
      <w:r w:rsidR="00F25F26">
        <w:rPr>
          <w:color w:val="000000" w:themeColor="text1"/>
        </w:rPr>
        <w:t xml:space="preserve"> </w:t>
      </w:r>
      <w:r w:rsidR="00FE44EF">
        <w:rPr>
          <w:color w:val="000000" w:themeColor="text1"/>
        </w:rPr>
        <w:t>lead to</w:t>
      </w:r>
      <w:r w:rsidR="00F25F26">
        <w:rPr>
          <w:color w:val="000000" w:themeColor="text1"/>
        </w:rPr>
        <w:t xml:space="preserve"> emotional</w:t>
      </w:r>
      <w:r w:rsidR="00B5611B">
        <w:rPr>
          <w:color w:val="000000" w:themeColor="text1"/>
        </w:rPr>
        <w:t xml:space="preserve"> hardship in a </w:t>
      </w:r>
      <w:r w:rsidR="00FE44EF">
        <w:rPr>
          <w:color w:val="000000" w:themeColor="text1"/>
        </w:rPr>
        <w:t>population</w:t>
      </w:r>
      <w:r w:rsidR="00F25F26">
        <w:rPr>
          <w:color w:val="000000" w:themeColor="text1"/>
        </w:rPr>
        <w:t xml:space="preserve">. </w:t>
      </w:r>
      <w:r w:rsidR="004A40E5">
        <w:rPr>
          <w:color w:val="000000" w:themeColor="text1"/>
        </w:rPr>
        <w:t xml:space="preserve">By modeling the linear relationship between deaths directly attributed to substance abuse and the suicide rate of a country, we </w:t>
      </w:r>
      <w:r w:rsidR="00FE44EF">
        <w:rPr>
          <w:color w:val="000000" w:themeColor="text1"/>
        </w:rPr>
        <w:t>hope to capture</w:t>
      </w:r>
      <w:r w:rsidR="004A40E5">
        <w:rPr>
          <w:color w:val="000000" w:themeColor="text1"/>
        </w:rPr>
        <w:t xml:space="preserve"> the intangible social factors that are associated with both substance abuse and suicidality.</w:t>
      </w:r>
    </w:p>
    <w:p w:rsidR="00EE2F1E" w:rsidRPr="00FF6063" w:rsidRDefault="00242046">
      <w:pPr>
        <w:spacing w:line="240" w:lineRule="auto"/>
        <w:ind w:firstLine="720"/>
        <w:rPr>
          <w:color w:val="000000" w:themeColor="text1"/>
        </w:rPr>
      </w:pPr>
      <w:r w:rsidRPr="00FF6063">
        <w:rPr>
          <w:color w:val="000000" w:themeColor="text1"/>
        </w:rPr>
        <w:t xml:space="preserve">While it is easy to imagine the correlation between substance abuse-related deaths and suicide, we were particularly interested in the correlation between general alcohol consumption and suicidality. Because alcohol consumption is not an </w:t>
      </w:r>
      <w:r w:rsidR="00FE44EF">
        <w:rPr>
          <w:color w:val="000000" w:themeColor="text1"/>
        </w:rPr>
        <w:t xml:space="preserve">inherently </w:t>
      </w:r>
      <w:r w:rsidRPr="00FF6063">
        <w:rPr>
          <w:color w:val="000000" w:themeColor="text1"/>
        </w:rPr>
        <w:t xml:space="preserve">unhealthy behavior </w:t>
      </w:r>
      <w:r w:rsidR="00FE44EF">
        <w:rPr>
          <w:color w:val="000000" w:themeColor="text1"/>
        </w:rPr>
        <w:t>in all settings and</w:t>
      </w:r>
      <w:r w:rsidRPr="00FF6063">
        <w:rPr>
          <w:color w:val="000000" w:themeColor="text1"/>
        </w:rPr>
        <w:t xml:space="preserve"> cultures, we wanted to explore the </w:t>
      </w:r>
      <w:r w:rsidR="00FE44EF">
        <w:rPr>
          <w:color w:val="000000" w:themeColor="text1"/>
        </w:rPr>
        <w:t xml:space="preserve">following </w:t>
      </w:r>
      <w:r w:rsidRPr="00FF6063">
        <w:rPr>
          <w:color w:val="000000" w:themeColor="text1"/>
        </w:rPr>
        <w:t xml:space="preserve">question: </w:t>
      </w:r>
      <w:r w:rsidR="00FE44EF">
        <w:rPr>
          <w:color w:val="000000" w:themeColor="text1"/>
        </w:rPr>
        <w:t>I</w:t>
      </w:r>
      <w:r w:rsidRPr="00FF6063">
        <w:rPr>
          <w:color w:val="000000" w:themeColor="text1"/>
        </w:rPr>
        <w:t>s there a significant linear relationship</w:t>
      </w:r>
      <w:r w:rsidR="00FE44EF">
        <w:rPr>
          <w:color w:val="000000" w:themeColor="text1"/>
        </w:rPr>
        <w:t>, on a country-wide level,</w:t>
      </w:r>
      <w:r w:rsidRPr="00FF6063">
        <w:rPr>
          <w:color w:val="000000" w:themeColor="text1"/>
        </w:rPr>
        <w:t xml:space="preserve"> between </w:t>
      </w:r>
      <w:r w:rsidR="00FE44EF">
        <w:rPr>
          <w:color w:val="000000" w:themeColor="text1"/>
        </w:rPr>
        <w:t xml:space="preserve">the amount of </w:t>
      </w:r>
      <w:r w:rsidRPr="00FF6063">
        <w:rPr>
          <w:color w:val="000000" w:themeColor="text1"/>
        </w:rPr>
        <w:t xml:space="preserve">alcohol consumption and </w:t>
      </w:r>
      <w:r w:rsidR="00FE44EF">
        <w:rPr>
          <w:color w:val="000000" w:themeColor="text1"/>
        </w:rPr>
        <w:t xml:space="preserve">the </w:t>
      </w:r>
      <w:r w:rsidRPr="00FF6063">
        <w:rPr>
          <w:color w:val="000000" w:themeColor="text1"/>
        </w:rPr>
        <w:t>suicide</w:t>
      </w:r>
      <w:r w:rsidR="00FE44EF">
        <w:rPr>
          <w:color w:val="000000" w:themeColor="text1"/>
        </w:rPr>
        <w:t xml:space="preserve"> rate</w:t>
      </w:r>
      <w:r w:rsidRPr="00FF6063">
        <w:rPr>
          <w:color w:val="000000" w:themeColor="text1"/>
        </w:rPr>
        <w:t xml:space="preserve">? </w:t>
      </w:r>
      <w:r w:rsidR="00FE44EF">
        <w:rPr>
          <w:color w:val="000000" w:themeColor="text1"/>
        </w:rPr>
        <w:t>T</w:t>
      </w:r>
      <w:r w:rsidRPr="00FF6063">
        <w:rPr>
          <w:color w:val="000000" w:themeColor="text1"/>
        </w:rPr>
        <w:t xml:space="preserve">o isolate the </w:t>
      </w:r>
      <w:r w:rsidR="00153B17">
        <w:rPr>
          <w:color w:val="000000" w:themeColor="text1"/>
        </w:rPr>
        <w:t>relationship between</w:t>
      </w:r>
      <w:r w:rsidRPr="00FF6063">
        <w:rPr>
          <w:color w:val="000000" w:themeColor="text1"/>
        </w:rPr>
        <w:t xml:space="preserve"> alcohol consumption </w:t>
      </w:r>
      <w:r w:rsidR="00153B17">
        <w:rPr>
          <w:color w:val="000000" w:themeColor="text1"/>
        </w:rPr>
        <w:t>and</w:t>
      </w:r>
      <w:r w:rsidRPr="00FF6063">
        <w:rPr>
          <w:color w:val="000000" w:themeColor="text1"/>
        </w:rPr>
        <w:t xml:space="preserve"> the suicide rate of a country, we </w:t>
      </w:r>
      <w:r w:rsidR="00FE44EF">
        <w:rPr>
          <w:color w:val="000000" w:themeColor="text1"/>
        </w:rPr>
        <w:t xml:space="preserve">also </w:t>
      </w:r>
      <w:r w:rsidRPr="00FF6063">
        <w:rPr>
          <w:color w:val="000000" w:themeColor="text1"/>
        </w:rPr>
        <w:t xml:space="preserve">assessed if a change in the alcohol consumption of a country </w:t>
      </w:r>
      <w:r w:rsidR="00FE44EF">
        <w:rPr>
          <w:color w:val="000000" w:themeColor="text1"/>
        </w:rPr>
        <w:t>correlates with</w:t>
      </w:r>
      <w:r w:rsidRPr="00FF6063">
        <w:rPr>
          <w:color w:val="000000" w:themeColor="text1"/>
        </w:rPr>
        <w:t xml:space="preserve"> a significant change in the suicide rate of the country</w:t>
      </w:r>
      <w:r w:rsidR="00FE44EF">
        <w:rPr>
          <w:color w:val="000000" w:themeColor="text1"/>
        </w:rPr>
        <w:t xml:space="preserve"> after accounting for</w:t>
      </w:r>
      <w:r w:rsidRPr="00FF6063">
        <w:rPr>
          <w:color w:val="000000" w:themeColor="text1"/>
        </w:rPr>
        <w:t xml:space="preserve"> the</w:t>
      </w:r>
      <w:r w:rsidR="00FE44EF">
        <w:rPr>
          <w:color w:val="000000" w:themeColor="text1"/>
        </w:rPr>
        <w:t xml:space="preserve"> number of</w:t>
      </w:r>
      <w:r w:rsidRPr="00FF6063">
        <w:rPr>
          <w:color w:val="000000" w:themeColor="text1"/>
        </w:rPr>
        <w:t xml:space="preserve"> deaths attributed to drugs and alcohol.</w:t>
      </w:r>
    </w:p>
    <w:p w:rsidR="00EE2F1E" w:rsidRPr="00FF6063" w:rsidRDefault="00EE2F1E">
      <w:pPr>
        <w:spacing w:line="240" w:lineRule="auto"/>
        <w:rPr>
          <w:color w:val="000000" w:themeColor="text1"/>
          <w:u w:val="single"/>
        </w:rPr>
      </w:pPr>
    </w:p>
    <w:p w:rsidR="00EE2F1E" w:rsidRPr="00FF6063" w:rsidRDefault="00242046" w:rsidP="00252353">
      <w:pPr>
        <w:spacing w:line="240" w:lineRule="auto"/>
        <w:outlineLvl w:val="0"/>
        <w:rPr>
          <w:b/>
          <w:color w:val="000000" w:themeColor="text1"/>
        </w:rPr>
      </w:pPr>
      <w:r w:rsidRPr="00FF6063">
        <w:rPr>
          <w:b/>
          <w:color w:val="000000" w:themeColor="text1"/>
        </w:rPr>
        <w:t>Methods</w:t>
      </w:r>
    </w:p>
    <w:p w:rsidR="00EE2F1E" w:rsidRPr="002A2F74" w:rsidRDefault="00F51903" w:rsidP="00EB4A23">
      <w:pPr>
        <w:spacing w:line="240" w:lineRule="auto"/>
        <w:ind w:firstLine="720"/>
        <w:rPr>
          <w:color w:val="000000" w:themeColor="text1"/>
        </w:rPr>
      </w:pPr>
      <w:r>
        <w:rPr>
          <w:color w:val="000000" w:themeColor="text1"/>
        </w:rPr>
        <w:t>This was a</w:t>
      </w:r>
      <w:r w:rsidRPr="00FF6063">
        <w:rPr>
          <w:color w:val="000000" w:themeColor="text1"/>
        </w:rPr>
        <w:t>n observational study</w:t>
      </w:r>
      <w:r>
        <w:rPr>
          <w:color w:val="000000" w:themeColor="text1"/>
        </w:rPr>
        <w:t>.</w:t>
      </w:r>
      <w:r w:rsidRPr="00FF6063">
        <w:rPr>
          <w:color w:val="000000" w:themeColor="text1"/>
        </w:rPr>
        <w:t xml:space="preserve"> </w:t>
      </w:r>
      <w:r w:rsidR="00B75357">
        <w:rPr>
          <w:color w:val="000000" w:themeColor="text1"/>
        </w:rPr>
        <w:t xml:space="preserve">We collected data from </w:t>
      </w:r>
      <w:r w:rsidR="00242046" w:rsidRPr="00FF6063">
        <w:rPr>
          <w:color w:val="000000" w:themeColor="text1"/>
        </w:rPr>
        <w:t>the World Bank, Our World in Data, and Global Health Observatory</w:t>
      </w:r>
      <w:r>
        <w:rPr>
          <w:color w:val="000000" w:themeColor="text1"/>
        </w:rPr>
        <w:t xml:space="preserve"> from nearly all countries in 2016 (n=177)</w:t>
      </w:r>
      <w:r w:rsidR="00242046" w:rsidRPr="00FF6063">
        <w:rPr>
          <w:color w:val="000000" w:themeColor="text1"/>
        </w:rPr>
        <w:t xml:space="preserve">. </w:t>
      </w:r>
      <w:r>
        <w:rPr>
          <w:color w:val="000000" w:themeColor="text1"/>
        </w:rPr>
        <w:t>Our intention is to infer relationships that can be generalized to other years</w:t>
      </w:r>
      <w:r w:rsidRPr="00FF6063">
        <w:rPr>
          <w:color w:val="000000" w:themeColor="text1"/>
        </w:rPr>
        <w:t>.</w:t>
      </w:r>
      <w:r>
        <w:rPr>
          <w:color w:val="000000" w:themeColor="text1"/>
        </w:rPr>
        <w:t xml:space="preserve"> </w:t>
      </w:r>
      <w:r w:rsidR="00EA1696">
        <w:rPr>
          <w:color w:val="000000" w:themeColor="text1"/>
        </w:rPr>
        <w:t>For e</w:t>
      </w:r>
      <w:r w:rsidR="00242046" w:rsidRPr="00FF6063">
        <w:rPr>
          <w:color w:val="000000" w:themeColor="text1"/>
        </w:rPr>
        <w:t>ach country data</w:t>
      </w:r>
      <w:r w:rsidR="00EA1696">
        <w:rPr>
          <w:color w:val="000000" w:themeColor="text1"/>
        </w:rPr>
        <w:t>, we</w:t>
      </w:r>
      <w:r w:rsidR="00242046" w:rsidRPr="00FF6063">
        <w:rPr>
          <w:color w:val="000000" w:themeColor="text1"/>
        </w:rPr>
        <w:t xml:space="preserve"> </w:t>
      </w:r>
      <w:r w:rsidR="00EA1696">
        <w:rPr>
          <w:color w:val="000000" w:themeColor="text1"/>
        </w:rPr>
        <w:t>obtained data on</w:t>
      </w:r>
      <w:r w:rsidR="008F4DB5">
        <w:rPr>
          <w:color w:val="000000" w:themeColor="text1"/>
        </w:rPr>
        <w:t xml:space="preserve"> </w:t>
      </w:r>
      <w:r w:rsidR="003B08E8">
        <w:rPr>
          <w:color w:val="000000" w:themeColor="text1"/>
        </w:rPr>
        <w:t xml:space="preserve">the suicide rate (as a percent), the amount of </w:t>
      </w:r>
      <w:r w:rsidR="008F4DB5">
        <w:rPr>
          <w:color w:val="000000" w:themeColor="text1"/>
        </w:rPr>
        <w:t>alcohol consumption</w:t>
      </w:r>
      <w:r w:rsidR="003B08E8">
        <w:rPr>
          <w:color w:val="000000" w:themeColor="text1"/>
        </w:rPr>
        <w:t xml:space="preserve"> consumed per capita per year</w:t>
      </w:r>
      <w:r w:rsidR="008F4DB5">
        <w:rPr>
          <w:color w:val="000000" w:themeColor="text1"/>
        </w:rPr>
        <w:t xml:space="preserve">, </w:t>
      </w:r>
      <w:r w:rsidR="003B08E8">
        <w:rPr>
          <w:color w:val="000000" w:themeColor="text1"/>
        </w:rPr>
        <w:t xml:space="preserve">the </w:t>
      </w:r>
      <w:r w:rsidR="00396F7B">
        <w:rPr>
          <w:color w:val="000000" w:themeColor="text1"/>
        </w:rPr>
        <w:t xml:space="preserve">number of </w:t>
      </w:r>
      <w:r w:rsidR="00242046" w:rsidRPr="00FF6063">
        <w:rPr>
          <w:color w:val="000000" w:themeColor="text1"/>
        </w:rPr>
        <w:t>deaths directly</w:t>
      </w:r>
      <w:r w:rsidR="00EA1696">
        <w:rPr>
          <w:color w:val="000000" w:themeColor="text1"/>
        </w:rPr>
        <w:t xml:space="preserve"> attributable</w:t>
      </w:r>
      <w:r w:rsidR="00242046" w:rsidRPr="00FF6063">
        <w:rPr>
          <w:color w:val="000000" w:themeColor="text1"/>
        </w:rPr>
        <w:t xml:space="preserve"> to alcohol use disorders, </w:t>
      </w:r>
      <w:r w:rsidR="003B08E8">
        <w:rPr>
          <w:color w:val="000000" w:themeColor="text1"/>
        </w:rPr>
        <w:t xml:space="preserve">the </w:t>
      </w:r>
      <w:r w:rsidR="00396F7B">
        <w:rPr>
          <w:color w:val="000000" w:themeColor="text1"/>
        </w:rPr>
        <w:t xml:space="preserve">number of </w:t>
      </w:r>
      <w:r w:rsidR="00242046" w:rsidRPr="00FF6063">
        <w:rPr>
          <w:color w:val="000000" w:themeColor="text1"/>
        </w:rPr>
        <w:t xml:space="preserve">deaths directly </w:t>
      </w:r>
      <w:r w:rsidR="00EA1696" w:rsidRPr="00FF6063">
        <w:rPr>
          <w:color w:val="000000" w:themeColor="text1"/>
        </w:rPr>
        <w:t xml:space="preserve">attributed </w:t>
      </w:r>
      <w:r w:rsidR="00242046" w:rsidRPr="00FF6063">
        <w:rPr>
          <w:color w:val="000000" w:themeColor="text1"/>
        </w:rPr>
        <w:t>to drug use disorders</w:t>
      </w:r>
      <w:r w:rsidR="00396F7B">
        <w:rPr>
          <w:color w:val="000000" w:themeColor="text1"/>
        </w:rPr>
        <w:t xml:space="preserve">, and </w:t>
      </w:r>
      <w:r w:rsidR="003B08E8">
        <w:rPr>
          <w:color w:val="000000" w:themeColor="text1"/>
        </w:rPr>
        <w:t xml:space="preserve">the </w:t>
      </w:r>
      <w:r w:rsidR="00396F7B">
        <w:rPr>
          <w:color w:val="000000" w:themeColor="text1"/>
        </w:rPr>
        <w:t>population size</w:t>
      </w:r>
      <w:r w:rsidR="00242046" w:rsidRPr="00FF6063">
        <w:rPr>
          <w:color w:val="000000" w:themeColor="text1"/>
        </w:rPr>
        <w:t>.</w:t>
      </w:r>
      <w:r w:rsidR="008F4DB5">
        <w:rPr>
          <w:color w:val="000000" w:themeColor="text1"/>
        </w:rPr>
        <w:t xml:space="preserve"> </w:t>
      </w:r>
      <w:r w:rsidR="003B08E8">
        <w:rPr>
          <w:color w:val="000000" w:themeColor="text1"/>
        </w:rPr>
        <w:t>A</w:t>
      </w:r>
      <w:r w:rsidR="008F4DB5">
        <w:rPr>
          <w:color w:val="000000" w:themeColor="text1"/>
        </w:rPr>
        <w:t xml:space="preserve">lcohol consumption rate was measured in </w:t>
      </w:r>
      <w:r w:rsidR="00EA1696">
        <w:rPr>
          <w:color w:val="000000" w:themeColor="text1"/>
        </w:rPr>
        <w:t xml:space="preserve">number of </w:t>
      </w:r>
      <w:r w:rsidR="008F4DB5">
        <w:rPr>
          <w:color w:val="000000" w:themeColor="text1"/>
        </w:rPr>
        <w:t>liters of pure alcohol consumed per capita</w:t>
      </w:r>
      <w:r w:rsidR="00B75357">
        <w:rPr>
          <w:color w:val="000000" w:themeColor="text1"/>
        </w:rPr>
        <w:t xml:space="preserve"> for people older than 15</w:t>
      </w:r>
      <w:r w:rsidR="00AA1F3D">
        <w:rPr>
          <w:color w:val="000000" w:themeColor="text1"/>
        </w:rPr>
        <w:t xml:space="preserve"> years of age</w:t>
      </w:r>
      <w:r w:rsidR="008F4DB5">
        <w:rPr>
          <w:color w:val="000000" w:themeColor="text1"/>
        </w:rPr>
        <w:t>.</w:t>
      </w:r>
      <w:r w:rsidR="00242046" w:rsidRPr="00FF6063">
        <w:rPr>
          <w:color w:val="000000" w:themeColor="text1"/>
        </w:rPr>
        <w:t xml:space="preserve"> </w:t>
      </w:r>
      <w:r w:rsidR="00EA1696">
        <w:rPr>
          <w:color w:val="000000" w:themeColor="text1"/>
        </w:rPr>
        <w:t>A</w:t>
      </w:r>
      <w:r w:rsidR="00242046" w:rsidRPr="00FF6063">
        <w:rPr>
          <w:color w:val="000000" w:themeColor="text1"/>
        </w:rPr>
        <w:t xml:space="preserve">lcohol- and drug-related </w:t>
      </w:r>
      <w:r w:rsidR="00EA1696">
        <w:rPr>
          <w:color w:val="000000" w:themeColor="text1"/>
        </w:rPr>
        <w:t>death</w:t>
      </w:r>
      <w:r w:rsidR="00242046" w:rsidRPr="00FF6063">
        <w:rPr>
          <w:color w:val="000000" w:themeColor="text1"/>
        </w:rPr>
        <w:t xml:space="preserve">s </w:t>
      </w:r>
      <w:r w:rsidR="00EA1696">
        <w:rPr>
          <w:color w:val="000000" w:themeColor="text1"/>
        </w:rPr>
        <w:t>wer</w:t>
      </w:r>
      <w:r w:rsidR="00EA1696" w:rsidRPr="00FF6063">
        <w:rPr>
          <w:color w:val="000000" w:themeColor="text1"/>
        </w:rPr>
        <w:t xml:space="preserve">e </w:t>
      </w:r>
      <w:r w:rsidR="00242046" w:rsidRPr="00FF6063">
        <w:rPr>
          <w:color w:val="000000" w:themeColor="text1"/>
        </w:rPr>
        <w:t>measured in</w:t>
      </w:r>
      <w:r w:rsidR="00EA1696">
        <w:rPr>
          <w:color w:val="000000" w:themeColor="text1"/>
        </w:rPr>
        <w:t xml:space="preserve"> number of</w:t>
      </w:r>
      <w:r w:rsidR="00242046" w:rsidRPr="00FF6063">
        <w:rPr>
          <w:color w:val="000000" w:themeColor="text1"/>
        </w:rPr>
        <w:t xml:space="preserve"> deaths per 100,000</w:t>
      </w:r>
      <w:r w:rsidR="000112A6">
        <w:rPr>
          <w:color w:val="000000" w:themeColor="text1"/>
        </w:rPr>
        <w:t xml:space="preserve"> individuals</w:t>
      </w:r>
      <w:r w:rsidR="00242046" w:rsidRPr="00FF6063">
        <w:rPr>
          <w:color w:val="000000" w:themeColor="text1"/>
        </w:rPr>
        <w:t xml:space="preserve"> </w:t>
      </w:r>
      <w:r w:rsidR="00EA1696">
        <w:rPr>
          <w:b/>
          <w:color w:val="000000" w:themeColor="text1"/>
        </w:rPr>
        <w:t>after e</w:t>
      </w:r>
      <w:r w:rsidR="00242046" w:rsidRPr="00FF6063">
        <w:rPr>
          <w:b/>
          <w:color w:val="000000" w:themeColor="text1"/>
        </w:rPr>
        <w:t>xclud</w:t>
      </w:r>
      <w:r w:rsidR="00EA1696">
        <w:rPr>
          <w:b/>
          <w:color w:val="000000" w:themeColor="text1"/>
        </w:rPr>
        <w:t>ing</w:t>
      </w:r>
      <w:r w:rsidR="00242046" w:rsidRPr="00FF6063">
        <w:rPr>
          <w:b/>
          <w:color w:val="000000" w:themeColor="text1"/>
        </w:rPr>
        <w:t xml:space="preserve"> suicides.</w:t>
      </w:r>
      <w:r w:rsidR="00242046" w:rsidRPr="00FF6063">
        <w:rPr>
          <w:color w:val="000000" w:themeColor="text1"/>
        </w:rPr>
        <w:t xml:space="preserve"> These</w:t>
      </w:r>
      <w:r w:rsidR="00EA1696">
        <w:rPr>
          <w:color w:val="000000" w:themeColor="text1"/>
        </w:rPr>
        <w:t xml:space="preserve"> three variables</w:t>
      </w:r>
      <w:r w:rsidR="00242046" w:rsidRPr="00FF6063">
        <w:rPr>
          <w:color w:val="000000" w:themeColor="text1"/>
        </w:rPr>
        <w:t xml:space="preserve"> were used to </w:t>
      </w:r>
      <w:r w:rsidR="00EA1696">
        <w:rPr>
          <w:color w:val="000000" w:themeColor="text1"/>
        </w:rPr>
        <w:t>predict</w:t>
      </w:r>
      <w:r w:rsidR="00EA1696" w:rsidRPr="00FF6063">
        <w:rPr>
          <w:color w:val="000000" w:themeColor="text1"/>
        </w:rPr>
        <w:t xml:space="preserve"> </w:t>
      </w:r>
      <w:r w:rsidR="00242046" w:rsidRPr="00FF6063">
        <w:rPr>
          <w:color w:val="000000" w:themeColor="text1"/>
        </w:rPr>
        <w:t>the suicide rate, measured in number of suicides per 100,000</w:t>
      </w:r>
      <w:r w:rsidR="000112A6">
        <w:rPr>
          <w:color w:val="000000" w:themeColor="text1"/>
        </w:rPr>
        <w:t xml:space="preserve"> individuals</w:t>
      </w:r>
      <w:r w:rsidR="00242046" w:rsidRPr="00FF6063">
        <w:rPr>
          <w:color w:val="000000" w:themeColor="text1"/>
        </w:rPr>
        <w:t>, of a country.</w:t>
      </w:r>
      <w:r w:rsidR="00FF2AF0">
        <w:rPr>
          <w:color w:val="000000" w:themeColor="text1"/>
        </w:rPr>
        <w:t xml:space="preserve">  </w:t>
      </w:r>
    </w:p>
    <w:p w:rsidR="00EE2F1E" w:rsidRPr="00FF6063" w:rsidRDefault="00242046" w:rsidP="00EB4A23">
      <w:pPr>
        <w:spacing w:line="240" w:lineRule="auto"/>
        <w:ind w:firstLine="720"/>
        <w:rPr>
          <w:color w:val="000000" w:themeColor="text1"/>
        </w:rPr>
      </w:pPr>
      <w:r w:rsidRPr="00FF6063">
        <w:rPr>
          <w:color w:val="000000" w:themeColor="text1"/>
        </w:rPr>
        <w:t xml:space="preserve">We collected the data by writing a Python script that read in the .csv files of all of the variables. The original variables on alcohol- and drug-related deaths were measured in raw numbers of deaths, so we used the </w:t>
      </w:r>
      <w:r w:rsidR="003B08E8">
        <w:rPr>
          <w:color w:val="000000" w:themeColor="text1"/>
        </w:rPr>
        <w:t xml:space="preserve">size </w:t>
      </w:r>
      <w:r w:rsidRPr="00FF6063">
        <w:rPr>
          <w:color w:val="000000" w:themeColor="text1"/>
        </w:rPr>
        <w:t xml:space="preserve">of each country to transform </w:t>
      </w:r>
      <w:r w:rsidR="005C1E44" w:rsidRPr="00FF6063">
        <w:rPr>
          <w:color w:val="000000" w:themeColor="text1"/>
        </w:rPr>
        <w:t>those variables</w:t>
      </w:r>
      <w:r w:rsidRPr="00FF6063">
        <w:rPr>
          <w:color w:val="000000" w:themeColor="text1"/>
        </w:rPr>
        <w:t xml:space="preserve"> to </w:t>
      </w:r>
      <w:r w:rsidR="003B08E8">
        <w:rPr>
          <w:color w:val="000000" w:themeColor="text1"/>
        </w:rPr>
        <w:t xml:space="preserve">number of </w:t>
      </w:r>
      <w:r w:rsidRPr="00FF6063">
        <w:rPr>
          <w:color w:val="000000" w:themeColor="text1"/>
        </w:rPr>
        <w:t>deaths per 100,000. To do so</w:t>
      </w:r>
      <w:r w:rsidR="003B08E8">
        <w:rPr>
          <w:color w:val="000000" w:themeColor="text1"/>
        </w:rPr>
        <w:t>,</w:t>
      </w:r>
      <w:r w:rsidRPr="00FF6063">
        <w:rPr>
          <w:color w:val="000000" w:themeColor="text1"/>
        </w:rPr>
        <w:t xml:space="preserve"> we multiplied the raw number of deaths by 100,000/population, where population refers to the population</w:t>
      </w:r>
      <w:r w:rsidR="003B08E8">
        <w:rPr>
          <w:color w:val="000000" w:themeColor="text1"/>
        </w:rPr>
        <w:t xml:space="preserve"> size</w:t>
      </w:r>
      <w:r w:rsidRPr="00FF6063">
        <w:rPr>
          <w:color w:val="000000" w:themeColor="text1"/>
        </w:rPr>
        <w:t xml:space="preserve"> of that specific country. To evaluate the significance of alcohol consumption as a predictor for suicidality, we used multiple linear regression to model the linear relationship between suicidality and alcohol consumption after </w:t>
      </w:r>
      <w:r w:rsidRPr="00FF6063">
        <w:rPr>
          <w:color w:val="000000" w:themeColor="text1"/>
        </w:rPr>
        <w:lastRenderedPageBreak/>
        <w:t>controlling for deaths attributed to alcohol and drug use.</w:t>
      </w:r>
      <w:r w:rsidR="003B08E8">
        <w:rPr>
          <w:color w:val="000000" w:themeColor="text1"/>
        </w:rPr>
        <w:t xml:space="preserve">  All analyses were carried out in R/RStudio.</w:t>
      </w:r>
    </w:p>
    <w:p w:rsidR="00EE2F1E" w:rsidRPr="00FF6063" w:rsidRDefault="00EE2F1E">
      <w:pPr>
        <w:spacing w:line="240" w:lineRule="auto"/>
        <w:rPr>
          <w:color w:val="000000" w:themeColor="text1"/>
          <w:u w:val="single"/>
        </w:rPr>
      </w:pPr>
    </w:p>
    <w:p w:rsidR="00EE2F1E" w:rsidRDefault="00242046" w:rsidP="00252353">
      <w:pPr>
        <w:spacing w:line="240" w:lineRule="auto"/>
        <w:outlineLvl w:val="0"/>
        <w:rPr>
          <w:b/>
          <w:color w:val="000000" w:themeColor="text1"/>
        </w:rPr>
      </w:pPr>
      <w:r w:rsidRPr="00FF6063">
        <w:rPr>
          <w:b/>
          <w:color w:val="000000" w:themeColor="text1"/>
        </w:rPr>
        <w:t>Results</w:t>
      </w:r>
    </w:p>
    <w:p w:rsidR="0084344A" w:rsidRPr="00FF6063" w:rsidRDefault="0084344A" w:rsidP="00252353">
      <w:pPr>
        <w:spacing w:line="240" w:lineRule="auto"/>
        <w:outlineLvl w:val="0"/>
        <w:rPr>
          <w:b/>
          <w:color w:val="000000" w:themeColor="text1"/>
        </w:rPr>
      </w:pPr>
    </w:p>
    <w:p w:rsidR="00EE2F1E" w:rsidRPr="00FF6063" w:rsidRDefault="0084344A">
      <w:pPr>
        <w:spacing w:line="240" w:lineRule="auto"/>
        <w:rPr>
          <w:b/>
          <w:color w:val="000000" w:themeColor="text1"/>
          <w:sz w:val="18"/>
          <w:szCs w:val="18"/>
        </w:rPr>
      </w:pPr>
      <w:r w:rsidRPr="00FF6063">
        <w:rPr>
          <w:noProof/>
          <w:color w:val="000000" w:themeColor="text1"/>
          <w:lang w:val="en-US"/>
        </w:rPr>
        <w:drawing>
          <wp:anchor distT="114300" distB="114300" distL="114300" distR="114300" simplePos="0" relativeHeight="251661824" behindDoc="0" locked="0" layoutInCell="1" hidden="0" allowOverlap="1">
            <wp:simplePos x="0" y="0"/>
            <wp:positionH relativeFrom="column">
              <wp:posOffset>2968385</wp:posOffset>
            </wp:positionH>
            <wp:positionV relativeFrom="paragraph">
              <wp:posOffset>333375</wp:posOffset>
            </wp:positionV>
            <wp:extent cx="2989580" cy="1348740"/>
            <wp:effectExtent l="0" t="0" r="0" b="0"/>
            <wp:wrapTopAndBottom distT="114300" distB="11430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2989580" cy="1348740"/>
                    </a:xfrm>
                    <a:prstGeom prst="rect">
                      <a:avLst/>
                    </a:prstGeom>
                    <a:ln/>
                  </pic:spPr>
                </pic:pic>
              </a:graphicData>
            </a:graphic>
            <wp14:sizeRelH relativeFrom="margin">
              <wp14:pctWidth>0</wp14:pctWidth>
            </wp14:sizeRelH>
            <wp14:sizeRelV relativeFrom="margin">
              <wp14:pctHeight>0</wp14:pctHeight>
            </wp14:sizeRelV>
          </wp:anchor>
        </w:drawing>
      </w:r>
      <w:r w:rsidRPr="00FF6063">
        <w:rPr>
          <w:noProof/>
          <w:color w:val="000000" w:themeColor="text1"/>
          <w:lang w:val="en-US"/>
        </w:rPr>
        <w:drawing>
          <wp:anchor distT="114300" distB="114300" distL="114300" distR="114300" simplePos="0" relativeHeight="251655680" behindDoc="0" locked="0" layoutInCell="1" hidden="0" allowOverlap="1">
            <wp:simplePos x="0" y="0"/>
            <wp:positionH relativeFrom="column">
              <wp:posOffset>-82561</wp:posOffset>
            </wp:positionH>
            <wp:positionV relativeFrom="paragraph">
              <wp:posOffset>273716</wp:posOffset>
            </wp:positionV>
            <wp:extent cx="2792095" cy="1670050"/>
            <wp:effectExtent l="0" t="0" r="1905" b="6350"/>
            <wp:wrapTopAndBottom distT="114300" distB="11430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2792095" cy="1670050"/>
                    </a:xfrm>
                    <a:prstGeom prst="rect">
                      <a:avLst/>
                    </a:prstGeom>
                    <a:ln/>
                  </pic:spPr>
                </pic:pic>
              </a:graphicData>
            </a:graphic>
            <wp14:sizeRelH relativeFrom="margin">
              <wp14:pctWidth>0</wp14:pctWidth>
            </wp14:sizeRelH>
            <wp14:sizeRelV relativeFrom="margin">
              <wp14:pctHeight>0</wp14:pctHeight>
            </wp14:sizeRelV>
          </wp:anchor>
        </w:drawing>
      </w:r>
      <w:r w:rsidR="00242046" w:rsidRPr="00FF6063">
        <w:rPr>
          <w:b/>
          <w:color w:val="000000" w:themeColor="text1"/>
          <w:sz w:val="18"/>
          <w:szCs w:val="18"/>
        </w:rPr>
        <w:t xml:space="preserve">  Figure 1.                                                                           </w:t>
      </w:r>
      <w:r w:rsidR="00C26355">
        <w:rPr>
          <w:b/>
          <w:color w:val="000000" w:themeColor="text1"/>
          <w:sz w:val="18"/>
          <w:szCs w:val="18"/>
        </w:rPr>
        <w:t>Table</w:t>
      </w:r>
      <w:r w:rsidR="00242046" w:rsidRPr="00FF6063">
        <w:rPr>
          <w:b/>
          <w:color w:val="000000" w:themeColor="text1"/>
          <w:sz w:val="18"/>
          <w:szCs w:val="18"/>
        </w:rPr>
        <w:t xml:space="preserve"> </w:t>
      </w:r>
      <w:r w:rsidR="00E5306D">
        <w:rPr>
          <w:b/>
          <w:color w:val="000000" w:themeColor="text1"/>
          <w:sz w:val="18"/>
          <w:szCs w:val="18"/>
        </w:rPr>
        <w:t>1</w:t>
      </w:r>
      <w:r w:rsidR="00242046" w:rsidRPr="00FF6063">
        <w:rPr>
          <w:b/>
          <w:color w:val="000000" w:themeColor="text1"/>
          <w:sz w:val="18"/>
          <w:szCs w:val="18"/>
        </w:rPr>
        <w:t>.</w:t>
      </w:r>
    </w:p>
    <w:p w:rsidR="00EE2F1E" w:rsidRPr="00FF6063" w:rsidRDefault="0084344A">
      <w:pPr>
        <w:spacing w:line="240" w:lineRule="auto"/>
        <w:rPr>
          <w:b/>
          <w:color w:val="000000" w:themeColor="text1"/>
          <w:sz w:val="18"/>
          <w:szCs w:val="18"/>
        </w:rPr>
      </w:pPr>
      <w:r w:rsidRPr="00FF6063">
        <w:rPr>
          <w:noProof/>
          <w:color w:val="000000" w:themeColor="text1"/>
          <w:lang w:val="en-US"/>
        </w:rPr>
        <w:drawing>
          <wp:anchor distT="114300" distB="114300" distL="114300" distR="114300" simplePos="0" relativeHeight="251665920" behindDoc="0" locked="0" layoutInCell="1" hidden="0" allowOverlap="1">
            <wp:simplePos x="0" y="0"/>
            <wp:positionH relativeFrom="column">
              <wp:posOffset>-6413</wp:posOffset>
            </wp:positionH>
            <wp:positionV relativeFrom="paragraph">
              <wp:posOffset>2203169</wp:posOffset>
            </wp:positionV>
            <wp:extent cx="2974975" cy="1353185"/>
            <wp:effectExtent l="0" t="0" r="0" b="5715"/>
            <wp:wrapTopAndBottom distT="114300" distB="11430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974975" cy="1353185"/>
                    </a:xfrm>
                    <a:prstGeom prst="rect">
                      <a:avLst/>
                    </a:prstGeom>
                    <a:ln/>
                  </pic:spPr>
                </pic:pic>
              </a:graphicData>
            </a:graphic>
            <wp14:sizeRelH relativeFrom="margin">
              <wp14:pctWidth>0</wp14:pctWidth>
            </wp14:sizeRelH>
            <wp14:sizeRelV relativeFrom="margin">
              <wp14:pctHeight>0</wp14:pctHeight>
            </wp14:sizeRelV>
          </wp:anchor>
        </w:drawing>
      </w:r>
      <w:r w:rsidRPr="00FF6063">
        <w:rPr>
          <w:noProof/>
          <w:color w:val="000000" w:themeColor="text1"/>
          <w:lang w:val="en-US"/>
        </w:rPr>
        <w:drawing>
          <wp:anchor distT="114300" distB="114300" distL="114300" distR="114300" simplePos="0" relativeHeight="251650560" behindDoc="0" locked="0" layoutInCell="1" hidden="0" allowOverlap="1">
            <wp:simplePos x="0" y="0"/>
            <wp:positionH relativeFrom="column">
              <wp:posOffset>3147695</wp:posOffset>
            </wp:positionH>
            <wp:positionV relativeFrom="paragraph">
              <wp:posOffset>2255822</wp:posOffset>
            </wp:positionV>
            <wp:extent cx="2810510" cy="1351915"/>
            <wp:effectExtent l="0" t="0" r="0" b="0"/>
            <wp:wrapTopAndBottom distT="114300" distB="11430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2810510" cy="1351915"/>
                    </a:xfrm>
                    <a:prstGeom prst="rect">
                      <a:avLst/>
                    </a:prstGeom>
                    <a:ln/>
                  </pic:spPr>
                </pic:pic>
              </a:graphicData>
            </a:graphic>
            <wp14:sizeRelH relativeFrom="margin">
              <wp14:pctWidth>0</wp14:pctWidth>
            </wp14:sizeRelH>
            <wp14:sizeRelV relativeFrom="margin">
              <wp14:pctHeight>0</wp14:pctHeight>
            </wp14:sizeRelV>
          </wp:anchor>
        </w:drawing>
      </w:r>
      <w:r w:rsidR="00C26355">
        <w:rPr>
          <w:b/>
          <w:color w:val="000000" w:themeColor="text1"/>
          <w:sz w:val="18"/>
          <w:szCs w:val="18"/>
        </w:rPr>
        <w:t>Table</w:t>
      </w:r>
      <w:r w:rsidR="00242046" w:rsidRPr="00FF6063">
        <w:rPr>
          <w:b/>
          <w:color w:val="000000" w:themeColor="text1"/>
          <w:sz w:val="18"/>
          <w:szCs w:val="18"/>
        </w:rPr>
        <w:t xml:space="preserve"> </w:t>
      </w:r>
      <w:r w:rsidR="00E5306D">
        <w:rPr>
          <w:b/>
          <w:color w:val="000000" w:themeColor="text1"/>
          <w:sz w:val="18"/>
          <w:szCs w:val="18"/>
        </w:rPr>
        <w:t>2</w:t>
      </w:r>
      <w:r w:rsidR="00242046" w:rsidRPr="00FF6063">
        <w:rPr>
          <w:b/>
          <w:color w:val="000000" w:themeColor="text1"/>
          <w:sz w:val="18"/>
          <w:szCs w:val="18"/>
        </w:rPr>
        <w:t xml:space="preserve">.                                                                             </w:t>
      </w:r>
      <w:r w:rsidR="00C26355">
        <w:rPr>
          <w:b/>
          <w:color w:val="000000" w:themeColor="text1"/>
          <w:sz w:val="18"/>
          <w:szCs w:val="18"/>
        </w:rPr>
        <w:t>Table</w:t>
      </w:r>
      <w:r w:rsidR="00242046" w:rsidRPr="00FF6063">
        <w:rPr>
          <w:b/>
          <w:color w:val="000000" w:themeColor="text1"/>
          <w:sz w:val="18"/>
          <w:szCs w:val="18"/>
        </w:rPr>
        <w:t xml:space="preserve"> </w:t>
      </w:r>
      <w:r w:rsidR="00E5306D">
        <w:rPr>
          <w:b/>
          <w:color w:val="000000" w:themeColor="text1"/>
          <w:sz w:val="18"/>
          <w:szCs w:val="18"/>
        </w:rPr>
        <w:t>3</w:t>
      </w:r>
      <w:r w:rsidR="00242046" w:rsidRPr="00FF6063">
        <w:rPr>
          <w:b/>
          <w:color w:val="000000" w:themeColor="text1"/>
          <w:sz w:val="18"/>
          <w:szCs w:val="18"/>
        </w:rPr>
        <w:t>.</w:t>
      </w:r>
    </w:p>
    <w:p w:rsidR="00EE2F1E" w:rsidRPr="00FF6063" w:rsidRDefault="00EE2F1E">
      <w:pPr>
        <w:spacing w:line="240" w:lineRule="auto"/>
        <w:ind w:firstLine="720"/>
        <w:rPr>
          <w:color w:val="000000" w:themeColor="text1"/>
        </w:rPr>
      </w:pPr>
    </w:p>
    <w:p w:rsidR="00851480" w:rsidRPr="00FF6063" w:rsidRDefault="00C26355" w:rsidP="00851480">
      <w:pPr>
        <w:spacing w:line="240" w:lineRule="auto"/>
        <w:ind w:firstLine="720"/>
        <w:rPr>
          <w:color w:val="000000" w:themeColor="text1"/>
          <w:u w:val="single"/>
        </w:rPr>
      </w:pPr>
      <w:r>
        <w:rPr>
          <w:color w:val="000000" w:themeColor="text1"/>
        </w:rPr>
        <w:t>T</w:t>
      </w:r>
      <w:r w:rsidR="003B44A4">
        <w:rPr>
          <w:color w:val="000000" w:themeColor="text1"/>
        </w:rPr>
        <w:t xml:space="preserve">he mean suicide rate of a country </w:t>
      </w:r>
      <w:r w:rsidR="00D1606B">
        <w:rPr>
          <w:color w:val="000000" w:themeColor="text1"/>
        </w:rPr>
        <w:t xml:space="preserve">was </w:t>
      </w:r>
      <w:r w:rsidR="003B44A4">
        <w:rPr>
          <w:color w:val="000000" w:themeColor="text1"/>
        </w:rPr>
        <w:t>9.29 suicides per 100,000</w:t>
      </w:r>
      <w:r w:rsidR="00383055">
        <w:rPr>
          <w:color w:val="000000" w:themeColor="text1"/>
        </w:rPr>
        <w:t xml:space="preserve"> individuals</w:t>
      </w:r>
      <w:r w:rsidR="003B44A4">
        <w:rPr>
          <w:color w:val="000000" w:themeColor="text1"/>
        </w:rPr>
        <w:t xml:space="preserve"> </w:t>
      </w:r>
      <w:r>
        <w:rPr>
          <w:color w:val="000000" w:themeColor="text1"/>
        </w:rPr>
        <w:t>(standard deviation of</w:t>
      </w:r>
      <w:r w:rsidR="002A2F74">
        <w:rPr>
          <w:color w:val="000000" w:themeColor="text1"/>
        </w:rPr>
        <w:t xml:space="preserve"> 6.04</w:t>
      </w:r>
      <w:r>
        <w:rPr>
          <w:color w:val="000000" w:themeColor="text1"/>
        </w:rPr>
        <w:t>)</w:t>
      </w:r>
      <w:r w:rsidR="00D1606B">
        <w:rPr>
          <w:color w:val="000000" w:themeColor="text1"/>
        </w:rPr>
        <w:t>,</w:t>
      </w:r>
      <w:r>
        <w:rPr>
          <w:color w:val="000000" w:themeColor="text1"/>
        </w:rPr>
        <w:t xml:space="preserve"> </w:t>
      </w:r>
      <w:r w:rsidR="003B44A4">
        <w:rPr>
          <w:color w:val="000000" w:themeColor="text1"/>
        </w:rPr>
        <w:t xml:space="preserve">and the mean alcohol consumption rate </w:t>
      </w:r>
      <w:r w:rsidR="00D1606B">
        <w:rPr>
          <w:color w:val="000000" w:themeColor="text1"/>
        </w:rPr>
        <w:t xml:space="preserve">was </w:t>
      </w:r>
      <w:r w:rsidR="003B44A4">
        <w:rPr>
          <w:color w:val="000000" w:themeColor="text1"/>
        </w:rPr>
        <w:t>6.07 liters of pure alcohol per capita</w:t>
      </w:r>
      <w:r>
        <w:rPr>
          <w:color w:val="000000" w:themeColor="text1"/>
        </w:rPr>
        <w:t xml:space="preserve"> (standard deviation of </w:t>
      </w:r>
      <w:r w:rsidR="002A2F74">
        <w:rPr>
          <w:color w:val="000000" w:themeColor="text1"/>
        </w:rPr>
        <w:t>4.10</w:t>
      </w:r>
      <w:r>
        <w:rPr>
          <w:color w:val="000000" w:themeColor="text1"/>
        </w:rPr>
        <w:t>)</w:t>
      </w:r>
      <w:r w:rsidR="003B44A4">
        <w:rPr>
          <w:color w:val="000000" w:themeColor="text1"/>
        </w:rPr>
        <w:t xml:space="preserve">. </w:t>
      </w:r>
      <w:r w:rsidR="007E3EF5">
        <w:rPr>
          <w:color w:val="000000" w:themeColor="text1"/>
        </w:rPr>
        <w:t xml:space="preserve">Figure 1 shows a clear correlation between the </w:t>
      </w:r>
      <w:r>
        <w:rPr>
          <w:color w:val="000000" w:themeColor="text1"/>
        </w:rPr>
        <w:t xml:space="preserve">amount of </w:t>
      </w:r>
      <w:r w:rsidR="007E3EF5">
        <w:rPr>
          <w:color w:val="000000" w:themeColor="text1"/>
        </w:rPr>
        <w:t>alcohol consum</w:t>
      </w:r>
      <w:r>
        <w:rPr>
          <w:color w:val="000000" w:themeColor="text1"/>
        </w:rPr>
        <w:t>ed by a country</w:t>
      </w:r>
      <w:r w:rsidR="007E3EF5">
        <w:rPr>
          <w:color w:val="000000" w:themeColor="text1"/>
        </w:rPr>
        <w:t xml:space="preserve"> and </w:t>
      </w:r>
      <w:r>
        <w:rPr>
          <w:color w:val="000000" w:themeColor="text1"/>
        </w:rPr>
        <w:t>its</w:t>
      </w:r>
      <w:r w:rsidR="007E3EF5">
        <w:rPr>
          <w:color w:val="000000" w:themeColor="text1"/>
        </w:rPr>
        <w:t xml:space="preserve"> suicide rate. </w:t>
      </w:r>
      <w:r w:rsidR="00851480" w:rsidRPr="00FF6063">
        <w:rPr>
          <w:color w:val="000000" w:themeColor="text1"/>
        </w:rPr>
        <w:t xml:space="preserve">At a significance level of </w:t>
      </w:r>
      <w:r w:rsidR="00851480" w:rsidRPr="00FF6063">
        <w:rPr>
          <w:color w:val="000000" w:themeColor="text1"/>
          <w:highlight w:val="white"/>
        </w:rPr>
        <w:t xml:space="preserve">α = 0.05, we </w:t>
      </w:r>
      <w:r w:rsidR="00851480">
        <w:rPr>
          <w:color w:val="000000" w:themeColor="text1"/>
          <w:highlight w:val="white"/>
        </w:rPr>
        <w:t>found</w:t>
      </w:r>
      <w:r w:rsidR="00851480" w:rsidRPr="00FF6063">
        <w:rPr>
          <w:color w:val="000000" w:themeColor="text1"/>
          <w:highlight w:val="white"/>
        </w:rPr>
        <w:t xml:space="preserve"> a significant linear relationship between alcohol consumption and the suicide rate of a country</w:t>
      </w:r>
      <w:r w:rsidR="00E5306D">
        <w:rPr>
          <w:color w:val="000000" w:themeColor="text1"/>
          <w:highlight w:val="white"/>
        </w:rPr>
        <w:t xml:space="preserve"> before (Table 1) and after</w:t>
      </w:r>
      <w:r w:rsidR="00851480" w:rsidRPr="00FF6063">
        <w:rPr>
          <w:color w:val="000000" w:themeColor="text1"/>
          <w:highlight w:val="white"/>
        </w:rPr>
        <w:t xml:space="preserve"> controlling for alcohol- and drug-related deaths</w:t>
      </w:r>
      <w:r w:rsidR="00E5306D">
        <w:rPr>
          <w:color w:val="000000" w:themeColor="text1"/>
          <w:highlight w:val="white"/>
        </w:rPr>
        <w:t xml:space="preserve"> (Tables 2-3)</w:t>
      </w:r>
      <w:r w:rsidR="00851480" w:rsidRPr="00FF6063">
        <w:rPr>
          <w:color w:val="000000" w:themeColor="text1"/>
          <w:highlight w:val="white"/>
        </w:rPr>
        <w:t xml:space="preserve">. </w:t>
      </w:r>
      <w:r w:rsidR="00851480" w:rsidRPr="00FF6063">
        <w:rPr>
          <w:color w:val="000000" w:themeColor="text1"/>
        </w:rPr>
        <w:t xml:space="preserve">The regression coefficient of consumption in our final </w:t>
      </w:r>
      <w:r w:rsidR="00E5306D">
        <w:rPr>
          <w:color w:val="000000" w:themeColor="text1"/>
        </w:rPr>
        <w:t xml:space="preserve">three-predictor </w:t>
      </w:r>
      <w:r w:rsidR="00851480" w:rsidRPr="00FF6063">
        <w:rPr>
          <w:color w:val="000000" w:themeColor="text1"/>
        </w:rPr>
        <w:t xml:space="preserve">model implies that, for every 2-liter increase in per capita alcohol consumption per year, the suicide rate of that country will increase </w:t>
      </w:r>
      <w:r w:rsidR="00D1606B">
        <w:rPr>
          <w:color w:val="000000" w:themeColor="text1"/>
        </w:rPr>
        <w:t xml:space="preserve">by an </w:t>
      </w:r>
      <w:r w:rsidR="00851480" w:rsidRPr="00FF6063">
        <w:rPr>
          <w:color w:val="000000" w:themeColor="text1"/>
        </w:rPr>
        <w:t xml:space="preserve">average </w:t>
      </w:r>
      <w:r w:rsidR="00D1606B">
        <w:rPr>
          <w:color w:val="000000" w:themeColor="text1"/>
        </w:rPr>
        <w:t xml:space="preserve">of </w:t>
      </w:r>
      <w:r w:rsidR="00851480" w:rsidRPr="00FF6063">
        <w:rPr>
          <w:color w:val="000000" w:themeColor="text1"/>
        </w:rPr>
        <w:t>one suicide per 100,000</w:t>
      </w:r>
      <w:r w:rsidR="00D1606B">
        <w:rPr>
          <w:color w:val="000000" w:themeColor="text1"/>
        </w:rPr>
        <w:t>,</w:t>
      </w:r>
      <w:r w:rsidR="00851480" w:rsidRPr="00FF6063">
        <w:rPr>
          <w:color w:val="000000" w:themeColor="text1"/>
        </w:rPr>
        <w:t xml:space="preserve"> </w:t>
      </w:r>
      <w:r w:rsidR="001F56A8" w:rsidRPr="002A2F74">
        <w:rPr>
          <w:color w:val="000000" w:themeColor="text1"/>
        </w:rPr>
        <w:t>assuming</w:t>
      </w:r>
      <w:r w:rsidR="00851480" w:rsidRPr="002A2F74">
        <w:rPr>
          <w:color w:val="000000" w:themeColor="text1"/>
        </w:rPr>
        <w:t xml:space="preserve"> the values of alcohol- and drug-related deaths </w:t>
      </w:r>
      <w:r w:rsidR="001F56A8">
        <w:rPr>
          <w:color w:val="000000" w:themeColor="text1"/>
        </w:rPr>
        <w:t>remain the same</w:t>
      </w:r>
      <w:r w:rsidR="00851480" w:rsidRPr="002A2F74">
        <w:rPr>
          <w:color w:val="000000" w:themeColor="text1"/>
        </w:rPr>
        <w:t>.</w:t>
      </w:r>
      <w:r w:rsidR="00851480" w:rsidRPr="00EB4A23">
        <w:rPr>
          <w:color w:val="000000" w:themeColor="text1"/>
        </w:rPr>
        <w:t xml:space="preserve"> </w:t>
      </w:r>
      <w:r w:rsidR="00851480" w:rsidRPr="00FF6063">
        <w:rPr>
          <w:color w:val="000000" w:themeColor="text1"/>
        </w:rPr>
        <w:t xml:space="preserve">Similarly, the two variables measuring substance abuse-related deaths imply that, for every additional two deaths per 100,000 that occur due to substance abuse disorders, the suicide rate of a country will increase </w:t>
      </w:r>
      <w:r w:rsidR="00D1606B">
        <w:rPr>
          <w:color w:val="000000" w:themeColor="text1"/>
        </w:rPr>
        <w:t xml:space="preserve">an </w:t>
      </w:r>
      <w:r w:rsidR="00851480" w:rsidRPr="00FF6063">
        <w:rPr>
          <w:color w:val="000000" w:themeColor="text1"/>
        </w:rPr>
        <w:t xml:space="preserve">average </w:t>
      </w:r>
      <w:r w:rsidR="00D1606B">
        <w:rPr>
          <w:color w:val="000000" w:themeColor="text1"/>
        </w:rPr>
        <w:t xml:space="preserve">of </w:t>
      </w:r>
      <w:r w:rsidR="00851480" w:rsidRPr="00FF6063">
        <w:rPr>
          <w:color w:val="000000" w:themeColor="text1"/>
        </w:rPr>
        <w:t xml:space="preserve">about one suicide per 100,000, </w:t>
      </w:r>
      <w:r w:rsidR="002813DF" w:rsidRPr="002A2F74">
        <w:rPr>
          <w:color w:val="000000" w:themeColor="text1"/>
        </w:rPr>
        <w:t>assuming</w:t>
      </w:r>
      <w:r w:rsidR="002813DF" w:rsidRPr="00EB4A23">
        <w:rPr>
          <w:color w:val="000000" w:themeColor="text1"/>
        </w:rPr>
        <w:t xml:space="preserve"> the values </w:t>
      </w:r>
      <w:r w:rsidR="002813DF">
        <w:rPr>
          <w:color w:val="000000" w:themeColor="text1"/>
        </w:rPr>
        <w:t>of</w:t>
      </w:r>
      <w:r w:rsidR="00851480" w:rsidRPr="002A2F74">
        <w:rPr>
          <w:color w:val="000000" w:themeColor="text1"/>
        </w:rPr>
        <w:t xml:space="preserve"> the other variables stay constant</w:t>
      </w:r>
      <w:r w:rsidR="00851480" w:rsidRPr="00FF6063">
        <w:rPr>
          <w:i/>
          <w:color w:val="000000" w:themeColor="text1"/>
        </w:rPr>
        <w:t>.</w:t>
      </w:r>
    </w:p>
    <w:p w:rsidR="002172D3" w:rsidRDefault="002172D3" w:rsidP="00EB4A23">
      <w:pPr>
        <w:spacing w:line="240" w:lineRule="auto"/>
        <w:ind w:firstLine="720"/>
        <w:rPr>
          <w:color w:val="000000" w:themeColor="text1"/>
        </w:rPr>
      </w:pPr>
      <w:r>
        <w:rPr>
          <w:color w:val="000000" w:themeColor="text1"/>
        </w:rPr>
        <w:t>Alcohol consumption alone explained nearly 1/3 of the variability in the suicide rate of a country (Table 1, adjusted R</w:t>
      </w:r>
      <w:r>
        <w:rPr>
          <w:color w:val="000000" w:themeColor="text1"/>
          <w:vertAlign w:val="superscript"/>
        </w:rPr>
        <w:t>2</w:t>
      </w:r>
      <w:r>
        <w:rPr>
          <w:color w:val="000000" w:themeColor="text1"/>
        </w:rPr>
        <w:t xml:space="preserve"> of 0.3384).  </w:t>
      </w:r>
      <w:r w:rsidR="00242046" w:rsidRPr="00FF6063">
        <w:rPr>
          <w:color w:val="000000" w:themeColor="text1"/>
        </w:rPr>
        <w:t xml:space="preserve">When </w:t>
      </w:r>
      <w:r w:rsidR="00E33C42">
        <w:rPr>
          <w:color w:val="000000" w:themeColor="text1"/>
        </w:rPr>
        <w:t xml:space="preserve">numbers of </w:t>
      </w:r>
      <w:r w:rsidR="00242046" w:rsidRPr="00FF6063">
        <w:rPr>
          <w:color w:val="000000" w:themeColor="text1"/>
        </w:rPr>
        <w:t>alcohol</w:t>
      </w:r>
      <w:r w:rsidR="00E33C42">
        <w:rPr>
          <w:color w:val="000000" w:themeColor="text1"/>
        </w:rPr>
        <w:t xml:space="preserve">- and/or drug-related </w:t>
      </w:r>
      <w:r w:rsidR="00242046" w:rsidRPr="00FF6063">
        <w:rPr>
          <w:color w:val="000000" w:themeColor="text1"/>
        </w:rPr>
        <w:t xml:space="preserve">deaths were </w:t>
      </w:r>
      <w:r w:rsidR="00E33C42">
        <w:rPr>
          <w:color w:val="000000" w:themeColor="text1"/>
        </w:rPr>
        <w:t>also included</w:t>
      </w:r>
      <w:r>
        <w:rPr>
          <w:color w:val="000000" w:themeColor="text1"/>
        </w:rPr>
        <w:t>,</w:t>
      </w:r>
      <w:r w:rsidR="00242046" w:rsidRPr="00FF6063">
        <w:rPr>
          <w:color w:val="000000" w:themeColor="text1"/>
        </w:rPr>
        <w:t xml:space="preserve"> the adjusted R</w:t>
      </w:r>
      <w:r w:rsidR="00242046" w:rsidRPr="00FF6063">
        <w:rPr>
          <w:color w:val="000000" w:themeColor="text1"/>
          <w:vertAlign w:val="superscript"/>
        </w:rPr>
        <w:t>2</w:t>
      </w:r>
      <w:r w:rsidR="00242046" w:rsidRPr="00FF6063">
        <w:rPr>
          <w:color w:val="000000" w:themeColor="text1"/>
        </w:rPr>
        <w:t xml:space="preserve"> value rose </w:t>
      </w:r>
      <w:r w:rsidR="00E33C42">
        <w:rPr>
          <w:color w:val="000000" w:themeColor="text1"/>
        </w:rPr>
        <w:t>to nearly 1/2</w:t>
      </w:r>
      <w:r w:rsidR="00E34C56">
        <w:rPr>
          <w:color w:val="000000" w:themeColor="text1"/>
        </w:rPr>
        <w:t xml:space="preserve"> </w:t>
      </w:r>
      <w:r w:rsidR="00023E5F">
        <w:rPr>
          <w:color w:val="000000" w:themeColor="text1"/>
        </w:rPr>
        <w:t>(Table</w:t>
      </w:r>
      <w:r w:rsidR="00E33C42">
        <w:rPr>
          <w:color w:val="000000" w:themeColor="text1"/>
        </w:rPr>
        <w:t>s</w:t>
      </w:r>
      <w:r w:rsidR="00023E5F">
        <w:rPr>
          <w:color w:val="000000" w:themeColor="text1"/>
        </w:rPr>
        <w:t xml:space="preserve"> 2</w:t>
      </w:r>
      <w:r w:rsidR="00E33C42">
        <w:rPr>
          <w:color w:val="000000" w:themeColor="text1"/>
        </w:rPr>
        <w:t xml:space="preserve"> and 3</w:t>
      </w:r>
      <w:r w:rsidR="00023E5F">
        <w:rPr>
          <w:color w:val="000000" w:themeColor="text1"/>
        </w:rPr>
        <w:t>)</w:t>
      </w:r>
      <w:r w:rsidR="00242046" w:rsidRPr="00FF6063">
        <w:rPr>
          <w:color w:val="000000" w:themeColor="text1"/>
        </w:rPr>
        <w:t xml:space="preserve">. </w:t>
      </w:r>
      <w:r w:rsidRPr="00FF6063">
        <w:rPr>
          <w:color w:val="000000" w:themeColor="text1"/>
        </w:rPr>
        <w:t>While the</w:t>
      </w:r>
      <w:r w:rsidR="00E33C42">
        <w:rPr>
          <w:color w:val="000000" w:themeColor="text1"/>
        </w:rPr>
        <w:t>se</w:t>
      </w:r>
      <w:r w:rsidRPr="00FF6063">
        <w:rPr>
          <w:color w:val="000000" w:themeColor="text1"/>
        </w:rPr>
        <w:t xml:space="preserve"> predictors</w:t>
      </w:r>
      <w:r w:rsidR="00E33C42">
        <w:rPr>
          <w:color w:val="000000" w:themeColor="text1"/>
        </w:rPr>
        <w:t xml:space="preserve"> are correlated</w:t>
      </w:r>
      <w:r w:rsidRPr="00FF6063">
        <w:rPr>
          <w:color w:val="000000" w:themeColor="text1"/>
        </w:rPr>
        <w:t xml:space="preserve"> (</w:t>
      </w:r>
      <w:r w:rsidR="00E33C42">
        <w:rPr>
          <w:color w:val="000000" w:themeColor="text1"/>
        </w:rPr>
        <w:t xml:space="preserve">see </w:t>
      </w:r>
      <w:r w:rsidR="005A6215">
        <w:rPr>
          <w:color w:val="000000" w:themeColor="text1"/>
        </w:rPr>
        <w:t xml:space="preserve">the </w:t>
      </w:r>
      <w:r w:rsidR="00E33C42">
        <w:rPr>
          <w:color w:val="000000" w:themeColor="text1"/>
        </w:rPr>
        <w:t>A</w:t>
      </w:r>
      <w:r w:rsidRPr="00FF6063">
        <w:rPr>
          <w:color w:val="000000" w:themeColor="text1"/>
        </w:rPr>
        <w:t xml:space="preserve">ppendix, Figures </w:t>
      </w:r>
      <w:r w:rsidR="00E33C42">
        <w:rPr>
          <w:color w:val="000000" w:themeColor="text1"/>
        </w:rPr>
        <w:t>2</w:t>
      </w:r>
      <w:r w:rsidRPr="00FF6063">
        <w:rPr>
          <w:color w:val="000000" w:themeColor="text1"/>
        </w:rPr>
        <w:t>-</w:t>
      </w:r>
      <w:r w:rsidR="00E33C42">
        <w:rPr>
          <w:color w:val="000000" w:themeColor="text1"/>
        </w:rPr>
        <w:t>4</w:t>
      </w:r>
      <w:r w:rsidRPr="00FF6063">
        <w:rPr>
          <w:color w:val="000000" w:themeColor="text1"/>
        </w:rPr>
        <w:t>), the degree of the collinearity observed was not sufficient to doubt the validity of the model. For</w:t>
      </w:r>
      <w:r w:rsidR="00E33C42">
        <w:rPr>
          <w:color w:val="000000" w:themeColor="text1"/>
        </w:rPr>
        <w:t xml:space="preserve"> example, the correlation between the amount of</w:t>
      </w:r>
      <w:r w:rsidRPr="00FF6063">
        <w:rPr>
          <w:color w:val="000000" w:themeColor="text1"/>
        </w:rPr>
        <w:t xml:space="preserve"> </w:t>
      </w:r>
      <w:r w:rsidR="00E33C42">
        <w:rPr>
          <w:color w:val="000000" w:themeColor="text1"/>
        </w:rPr>
        <w:t xml:space="preserve">alcohol </w:t>
      </w:r>
      <w:r w:rsidRPr="00FF6063">
        <w:rPr>
          <w:color w:val="000000" w:themeColor="text1"/>
        </w:rPr>
        <w:t>consu</w:t>
      </w:r>
      <w:r w:rsidR="00E33C42">
        <w:rPr>
          <w:color w:val="000000" w:themeColor="text1"/>
        </w:rPr>
        <w:t>med</w:t>
      </w:r>
      <w:r w:rsidRPr="00FF6063">
        <w:rPr>
          <w:color w:val="000000" w:themeColor="text1"/>
        </w:rPr>
        <w:t xml:space="preserve"> and </w:t>
      </w:r>
      <w:r w:rsidR="00E07F94">
        <w:rPr>
          <w:color w:val="000000" w:themeColor="text1"/>
        </w:rPr>
        <w:t xml:space="preserve">the </w:t>
      </w:r>
      <w:r w:rsidR="00E33C42">
        <w:rPr>
          <w:color w:val="000000" w:themeColor="text1"/>
        </w:rPr>
        <w:t xml:space="preserve">number of </w:t>
      </w:r>
      <w:r w:rsidRPr="00FF6063">
        <w:rPr>
          <w:color w:val="000000" w:themeColor="text1"/>
        </w:rPr>
        <w:t>drug</w:t>
      </w:r>
      <w:r w:rsidR="00E33C42">
        <w:rPr>
          <w:color w:val="000000" w:themeColor="text1"/>
        </w:rPr>
        <w:t>-related</w:t>
      </w:r>
      <w:r w:rsidRPr="00FF6063">
        <w:rPr>
          <w:color w:val="000000" w:themeColor="text1"/>
        </w:rPr>
        <w:t xml:space="preserve"> deaths</w:t>
      </w:r>
      <w:r w:rsidR="00E33C42">
        <w:rPr>
          <w:color w:val="000000" w:themeColor="text1"/>
        </w:rPr>
        <w:t xml:space="preserve"> was 0.44</w:t>
      </w:r>
      <w:r w:rsidRPr="00FF6063">
        <w:rPr>
          <w:color w:val="000000" w:themeColor="text1"/>
        </w:rPr>
        <w:t xml:space="preserve">. </w:t>
      </w:r>
      <w:r w:rsidR="002813DF">
        <w:rPr>
          <w:color w:val="000000" w:themeColor="text1"/>
        </w:rPr>
        <w:t>A</w:t>
      </w:r>
      <w:r w:rsidR="00E07F94">
        <w:rPr>
          <w:color w:val="000000" w:themeColor="text1"/>
        </w:rPr>
        <w:t xml:space="preserve"> similar correlation was observed between the amount of alcohol </w:t>
      </w:r>
      <w:r w:rsidRPr="00FF6063">
        <w:rPr>
          <w:color w:val="000000" w:themeColor="text1"/>
        </w:rPr>
        <w:t>consum</w:t>
      </w:r>
      <w:r w:rsidR="00E07F94">
        <w:rPr>
          <w:color w:val="000000" w:themeColor="text1"/>
        </w:rPr>
        <w:t>ed</w:t>
      </w:r>
      <w:r w:rsidRPr="00FF6063">
        <w:rPr>
          <w:color w:val="000000" w:themeColor="text1"/>
        </w:rPr>
        <w:t xml:space="preserve"> and </w:t>
      </w:r>
      <w:r w:rsidR="00E07F94">
        <w:rPr>
          <w:color w:val="000000" w:themeColor="text1"/>
        </w:rPr>
        <w:t xml:space="preserve">the number of </w:t>
      </w:r>
      <w:r w:rsidRPr="00FF6063">
        <w:rPr>
          <w:color w:val="000000" w:themeColor="text1"/>
        </w:rPr>
        <w:lastRenderedPageBreak/>
        <w:t>alcohol</w:t>
      </w:r>
      <w:r w:rsidR="00E07F94">
        <w:rPr>
          <w:color w:val="000000" w:themeColor="text1"/>
        </w:rPr>
        <w:t>-related</w:t>
      </w:r>
      <w:r w:rsidRPr="00FF6063">
        <w:rPr>
          <w:color w:val="000000" w:themeColor="text1"/>
        </w:rPr>
        <w:t xml:space="preserve"> deaths. </w:t>
      </w:r>
      <w:r w:rsidR="002813DF">
        <w:rPr>
          <w:color w:val="000000" w:themeColor="text1"/>
        </w:rPr>
        <w:t>However, t</w:t>
      </w:r>
      <w:r w:rsidRPr="00FF6063">
        <w:rPr>
          <w:color w:val="000000" w:themeColor="text1"/>
        </w:rPr>
        <w:t xml:space="preserve">he correlation </w:t>
      </w:r>
      <w:r w:rsidR="00E07F94">
        <w:rPr>
          <w:color w:val="000000" w:themeColor="text1"/>
        </w:rPr>
        <w:t>between</w:t>
      </w:r>
      <w:r w:rsidR="00E07F94" w:rsidRPr="00FF6063">
        <w:rPr>
          <w:color w:val="000000" w:themeColor="text1"/>
        </w:rPr>
        <w:t xml:space="preserve"> alcohol</w:t>
      </w:r>
      <w:r w:rsidR="00E07F94">
        <w:rPr>
          <w:color w:val="000000" w:themeColor="text1"/>
        </w:rPr>
        <w:t>- and drug-related</w:t>
      </w:r>
      <w:r w:rsidR="00E07F94" w:rsidRPr="00FF6063">
        <w:rPr>
          <w:color w:val="000000" w:themeColor="text1"/>
        </w:rPr>
        <w:t xml:space="preserve"> deaths </w:t>
      </w:r>
      <w:r w:rsidRPr="00FF6063">
        <w:rPr>
          <w:color w:val="000000" w:themeColor="text1"/>
        </w:rPr>
        <w:t xml:space="preserve">was </w:t>
      </w:r>
      <w:r w:rsidR="00E07F94">
        <w:rPr>
          <w:color w:val="000000" w:themeColor="text1"/>
        </w:rPr>
        <w:t xml:space="preserve">much higher </w:t>
      </w:r>
      <w:r w:rsidR="001E01CD">
        <w:rPr>
          <w:color w:val="000000" w:themeColor="text1"/>
        </w:rPr>
        <w:t xml:space="preserve">at </w:t>
      </w:r>
      <w:r w:rsidR="00E07F94">
        <w:rPr>
          <w:color w:val="000000" w:themeColor="text1"/>
        </w:rPr>
        <w:t>0</w:t>
      </w:r>
      <w:r w:rsidRPr="00FF6063">
        <w:rPr>
          <w:color w:val="000000" w:themeColor="text1"/>
        </w:rPr>
        <w:t>.6</w:t>
      </w:r>
      <w:r w:rsidR="00E07F94">
        <w:rPr>
          <w:color w:val="000000" w:themeColor="text1"/>
        </w:rPr>
        <w:t>8</w:t>
      </w:r>
      <w:r w:rsidR="00EE4680">
        <w:rPr>
          <w:color w:val="000000" w:themeColor="text1"/>
        </w:rPr>
        <w:t>, making it difficult to separate their independent effects.</w:t>
      </w:r>
    </w:p>
    <w:p w:rsidR="00EE2F1E" w:rsidRPr="00FF6063" w:rsidRDefault="00B511AD">
      <w:pPr>
        <w:spacing w:line="240" w:lineRule="auto"/>
        <w:ind w:firstLine="720"/>
        <w:rPr>
          <w:color w:val="000000" w:themeColor="text1"/>
        </w:rPr>
      </w:pPr>
      <w:r>
        <w:rPr>
          <w:color w:val="000000" w:themeColor="text1"/>
        </w:rPr>
        <w:t>To examine the assumptions of our model, we first plotted</w:t>
      </w:r>
      <w:r w:rsidR="00242046" w:rsidRPr="00FF6063">
        <w:rPr>
          <w:color w:val="000000" w:themeColor="text1"/>
        </w:rPr>
        <w:t xml:space="preserve"> the residuals of our final </w:t>
      </w:r>
      <w:r w:rsidR="003416EA">
        <w:rPr>
          <w:color w:val="000000" w:themeColor="text1"/>
        </w:rPr>
        <w:t xml:space="preserve">three-predictor </w:t>
      </w:r>
      <w:r w:rsidR="00242046" w:rsidRPr="00FF6063">
        <w:rPr>
          <w:color w:val="000000" w:themeColor="text1"/>
        </w:rPr>
        <w:t>model against the fitted values</w:t>
      </w:r>
      <w:r>
        <w:rPr>
          <w:color w:val="000000" w:themeColor="text1"/>
        </w:rPr>
        <w:t xml:space="preserve"> </w:t>
      </w:r>
      <w:r w:rsidR="00242046" w:rsidRPr="00FF6063">
        <w:rPr>
          <w:color w:val="000000" w:themeColor="text1"/>
        </w:rPr>
        <w:t xml:space="preserve">(Appendix, Figure </w:t>
      </w:r>
      <w:r>
        <w:rPr>
          <w:color w:val="000000" w:themeColor="text1"/>
        </w:rPr>
        <w:t>5</w:t>
      </w:r>
      <w:r w:rsidR="00242046" w:rsidRPr="00FF6063">
        <w:rPr>
          <w:color w:val="000000" w:themeColor="text1"/>
        </w:rPr>
        <w:t>). There were some noticeable outliers</w:t>
      </w:r>
      <w:r>
        <w:rPr>
          <w:color w:val="000000" w:themeColor="text1"/>
        </w:rPr>
        <w:t>, for example,</w:t>
      </w:r>
      <w:r w:rsidR="00242046" w:rsidRPr="00FF6063">
        <w:rPr>
          <w:color w:val="000000" w:themeColor="text1"/>
        </w:rPr>
        <w:t xml:space="preserve"> </w:t>
      </w:r>
      <w:r>
        <w:rPr>
          <w:color w:val="000000" w:themeColor="text1"/>
        </w:rPr>
        <w:t xml:space="preserve">some </w:t>
      </w:r>
      <w:r w:rsidR="00242046" w:rsidRPr="00FF6063">
        <w:rPr>
          <w:color w:val="000000" w:themeColor="text1"/>
        </w:rPr>
        <w:t xml:space="preserve">with fitted values of about 10 suicides per 100,000, but </w:t>
      </w:r>
      <w:r>
        <w:rPr>
          <w:color w:val="000000" w:themeColor="text1"/>
        </w:rPr>
        <w:t xml:space="preserve">after excluding those, there does not appear to be a strong </w:t>
      </w:r>
      <w:r w:rsidR="00242046" w:rsidRPr="00FF6063">
        <w:rPr>
          <w:color w:val="000000" w:themeColor="text1"/>
        </w:rPr>
        <w:t xml:space="preserve">deviation from </w:t>
      </w:r>
      <w:r>
        <w:rPr>
          <w:color w:val="000000" w:themeColor="text1"/>
        </w:rPr>
        <w:t xml:space="preserve">the </w:t>
      </w:r>
      <w:r w:rsidR="00242046" w:rsidRPr="00FF6063">
        <w:rPr>
          <w:color w:val="000000" w:themeColor="text1"/>
        </w:rPr>
        <w:t>constant variance</w:t>
      </w:r>
      <w:r>
        <w:rPr>
          <w:color w:val="000000" w:themeColor="text1"/>
        </w:rPr>
        <w:t xml:space="preserve"> assumption</w:t>
      </w:r>
      <w:r w:rsidR="00242046" w:rsidRPr="00FF6063">
        <w:rPr>
          <w:color w:val="000000" w:themeColor="text1"/>
        </w:rPr>
        <w:t xml:space="preserve">. Similarly, because there is no evidence of any pattern in the residuals when plotted against the fitted values, we concluded that the predictors have strong </w:t>
      </w:r>
      <w:r w:rsidR="00242046" w:rsidRPr="00A45C2C">
        <w:rPr>
          <w:color w:val="000000" w:themeColor="text1"/>
        </w:rPr>
        <w:t>linear</w:t>
      </w:r>
      <w:r w:rsidR="00242046" w:rsidRPr="00FF6063">
        <w:rPr>
          <w:i/>
          <w:color w:val="000000" w:themeColor="text1"/>
        </w:rPr>
        <w:t xml:space="preserve"> </w:t>
      </w:r>
      <w:r w:rsidR="00242046" w:rsidRPr="00FF6063">
        <w:rPr>
          <w:color w:val="000000" w:themeColor="text1"/>
        </w:rPr>
        <w:t xml:space="preserve">relationships with the response variable. Finally, </w:t>
      </w:r>
      <w:r>
        <w:rPr>
          <w:color w:val="000000" w:themeColor="text1"/>
        </w:rPr>
        <w:t>we plotted</w:t>
      </w:r>
      <w:r w:rsidRPr="00FF6063">
        <w:rPr>
          <w:color w:val="000000" w:themeColor="text1"/>
        </w:rPr>
        <w:t xml:space="preserve"> </w:t>
      </w:r>
      <w:r w:rsidR="00242046" w:rsidRPr="00FF6063">
        <w:rPr>
          <w:color w:val="000000" w:themeColor="text1"/>
        </w:rPr>
        <w:t xml:space="preserve">a histogram of the residuals (Appendix, Figure </w:t>
      </w:r>
      <w:r>
        <w:rPr>
          <w:color w:val="000000" w:themeColor="text1"/>
        </w:rPr>
        <w:t>6</w:t>
      </w:r>
      <w:r w:rsidR="00242046" w:rsidRPr="00FF6063">
        <w:rPr>
          <w:color w:val="000000" w:themeColor="text1"/>
        </w:rPr>
        <w:t xml:space="preserve">) and a normal probability plot of the sample quantiles against theoretical quantities (Appendix, Figure </w:t>
      </w:r>
      <w:r>
        <w:rPr>
          <w:color w:val="000000" w:themeColor="text1"/>
        </w:rPr>
        <w:t>7</w:t>
      </w:r>
      <w:r w:rsidR="00242046" w:rsidRPr="00FF6063">
        <w:rPr>
          <w:color w:val="000000" w:themeColor="text1"/>
        </w:rPr>
        <w:t>)</w:t>
      </w:r>
      <w:r>
        <w:rPr>
          <w:color w:val="000000" w:themeColor="text1"/>
        </w:rPr>
        <w:t xml:space="preserve">.  Although the </w:t>
      </w:r>
      <w:r w:rsidR="00242046" w:rsidRPr="00FF6063">
        <w:rPr>
          <w:color w:val="000000" w:themeColor="text1"/>
        </w:rPr>
        <w:t>sample quantiles are slightly more extreme than expected when compared to the normal distribution</w:t>
      </w:r>
      <w:r>
        <w:rPr>
          <w:color w:val="000000" w:themeColor="text1"/>
        </w:rPr>
        <w:t>, the residuals appear be roughly normally distributed, suggesting that the assumption of normal errors is reasonable</w:t>
      </w:r>
      <w:r w:rsidR="00242046" w:rsidRPr="00FF6063">
        <w:rPr>
          <w:color w:val="000000" w:themeColor="text1"/>
        </w:rPr>
        <w:t>.</w:t>
      </w:r>
    </w:p>
    <w:p w:rsidR="00EE2F1E" w:rsidRPr="00FF6063" w:rsidRDefault="00EE2F1E">
      <w:pPr>
        <w:spacing w:line="240" w:lineRule="auto"/>
        <w:rPr>
          <w:color w:val="000000" w:themeColor="text1"/>
          <w:u w:val="single"/>
        </w:rPr>
      </w:pPr>
    </w:p>
    <w:p w:rsidR="00EE2F1E" w:rsidRPr="00FF6063" w:rsidRDefault="00242046" w:rsidP="00252353">
      <w:pPr>
        <w:spacing w:line="240" w:lineRule="auto"/>
        <w:outlineLvl w:val="0"/>
        <w:rPr>
          <w:b/>
          <w:color w:val="000000" w:themeColor="text1"/>
        </w:rPr>
      </w:pPr>
      <w:r w:rsidRPr="00FF6063">
        <w:rPr>
          <w:b/>
          <w:color w:val="000000" w:themeColor="text1"/>
        </w:rPr>
        <w:t>Conclusions/Inferences</w:t>
      </w:r>
    </w:p>
    <w:p w:rsidR="00EE2F1E" w:rsidRPr="00FF6063" w:rsidRDefault="007B4D02" w:rsidP="00A45C2C">
      <w:pPr>
        <w:spacing w:line="240" w:lineRule="auto"/>
        <w:rPr>
          <w:color w:val="000000" w:themeColor="text1"/>
        </w:rPr>
      </w:pPr>
      <w:r>
        <w:rPr>
          <w:color w:val="000000" w:themeColor="text1"/>
        </w:rPr>
        <w:tab/>
      </w:r>
      <w:r w:rsidR="00CA3A90">
        <w:rPr>
          <w:color w:val="000000" w:themeColor="text1"/>
        </w:rPr>
        <w:t>W</w:t>
      </w:r>
      <w:r w:rsidR="00242046" w:rsidRPr="00FF6063">
        <w:rPr>
          <w:color w:val="000000" w:themeColor="text1"/>
        </w:rPr>
        <w:t xml:space="preserve">e found that alcohol consumption, deaths attributed directly to alcohol use disorders, and deaths attributed directly to drug use disorders all had strong linear relationships with </w:t>
      </w:r>
      <w:r w:rsidR="00CA3A90">
        <w:rPr>
          <w:color w:val="000000" w:themeColor="text1"/>
        </w:rPr>
        <w:t xml:space="preserve">the </w:t>
      </w:r>
      <w:r w:rsidR="00242046" w:rsidRPr="00FF6063">
        <w:rPr>
          <w:color w:val="000000" w:themeColor="text1"/>
        </w:rPr>
        <w:t>suicide rate</w:t>
      </w:r>
      <w:r w:rsidR="00CA3A90">
        <w:rPr>
          <w:color w:val="000000" w:themeColor="text1"/>
        </w:rPr>
        <w:t xml:space="preserve"> on a country-wide level</w:t>
      </w:r>
      <w:r w:rsidR="00242046" w:rsidRPr="00FF6063">
        <w:rPr>
          <w:color w:val="000000" w:themeColor="text1"/>
        </w:rPr>
        <w:t xml:space="preserve">. While these findings are statistically significant, </w:t>
      </w:r>
      <w:r w:rsidR="00CA3A90">
        <w:rPr>
          <w:color w:val="000000" w:themeColor="text1"/>
        </w:rPr>
        <w:t>we were unable</w:t>
      </w:r>
      <w:r w:rsidR="00242046" w:rsidRPr="00FF6063">
        <w:rPr>
          <w:color w:val="000000" w:themeColor="text1"/>
        </w:rPr>
        <w:t xml:space="preserve"> to measure the intangible factors that determine a society’s tendencies to consume more alcohol or to be more prone to alcohol- or drug-use disorders. However, our study </w:t>
      </w:r>
      <w:r w:rsidR="00CA3A90">
        <w:rPr>
          <w:color w:val="000000" w:themeColor="text1"/>
        </w:rPr>
        <w:t>extends</w:t>
      </w:r>
      <w:r w:rsidR="00242046" w:rsidRPr="00FF6063">
        <w:rPr>
          <w:color w:val="000000" w:themeColor="text1"/>
        </w:rPr>
        <w:t xml:space="preserve"> the link between alcohol consumption and suicidality</w:t>
      </w:r>
      <w:r w:rsidR="00CA3A90">
        <w:rPr>
          <w:color w:val="000000" w:themeColor="text1"/>
        </w:rPr>
        <w:t xml:space="preserve"> from individuals to countries</w:t>
      </w:r>
      <w:r w:rsidR="00242046" w:rsidRPr="00FF6063">
        <w:rPr>
          <w:color w:val="000000" w:themeColor="text1"/>
        </w:rPr>
        <w:t>.</w:t>
      </w:r>
      <w:r w:rsidR="00C45D19">
        <w:rPr>
          <w:color w:val="000000" w:themeColor="text1"/>
        </w:rPr>
        <w:t xml:space="preserve">  As a result, </w:t>
      </w:r>
      <w:r w:rsidR="00242046" w:rsidRPr="00FF6063">
        <w:rPr>
          <w:color w:val="000000" w:themeColor="text1"/>
        </w:rPr>
        <w:t xml:space="preserve">our regression model </w:t>
      </w:r>
      <w:r w:rsidR="006E2341">
        <w:rPr>
          <w:color w:val="000000" w:themeColor="text1"/>
        </w:rPr>
        <w:t xml:space="preserve">may </w:t>
      </w:r>
      <w:r w:rsidR="00242046" w:rsidRPr="00FF6063">
        <w:rPr>
          <w:color w:val="000000" w:themeColor="text1"/>
        </w:rPr>
        <w:t xml:space="preserve">have </w:t>
      </w:r>
      <w:r w:rsidR="00C45D19">
        <w:rPr>
          <w:color w:val="000000" w:themeColor="text1"/>
        </w:rPr>
        <w:t>important</w:t>
      </w:r>
      <w:r w:rsidR="00242046" w:rsidRPr="00FF6063">
        <w:rPr>
          <w:color w:val="000000" w:themeColor="text1"/>
        </w:rPr>
        <w:t xml:space="preserve"> implications for the role of alcohol consumption in a nation. For example, consider a country such as Russia, wh</w:t>
      </w:r>
      <w:r w:rsidR="006E2341">
        <w:rPr>
          <w:color w:val="000000" w:themeColor="text1"/>
        </w:rPr>
        <w:t>ich</w:t>
      </w:r>
      <w:r w:rsidR="00242046" w:rsidRPr="00FF6063">
        <w:rPr>
          <w:color w:val="000000" w:themeColor="text1"/>
        </w:rPr>
        <w:t xml:space="preserve"> has a</w:t>
      </w:r>
      <w:r w:rsidR="00D9104E">
        <w:rPr>
          <w:color w:val="000000" w:themeColor="text1"/>
        </w:rPr>
        <w:t>n</w:t>
      </w:r>
      <w:r w:rsidR="00242046" w:rsidRPr="00FF6063">
        <w:rPr>
          <w:color w:val="000000" w:themeColor="text1"/>
        </w:rPr>
        <w:t xml:space="preserve"> alcohol consumption rate of about 12 liters of pure alcohol per capita per year. According to our final model, a </w:t>
      </w:r>
      <w:r w:rsidR="005C1E44" w:rsidRPr="00FF6063">
        <w:rPr>
          <w:color w:val="000000" w:themeColor="text1"/>
        </w:rPr>
        <w:t>2-liter</w:t>
      </w:r>
      <w:r w:rsidR="00242046" w:rsidRPr="00FF6063">
        <w:rPr>
          <w:color w:val="000000" w:themeColor="text1"/>
        </w:rPr>
        <w:t xml:space="preserve"> increase in per capita alcohol consumption is linearly associated with an average increase of one suicide per 100,000, holding all other variables constant. Consequently, an alcohol consumption rate of 12 liters of pure alcohol per capita is predicted to increase the suicide rate of a country by about six suicides per 100,000</w:t>
      </w:r>
      <w:r w:rsidR="005F787E">
        <w:rPr>
          <w:color w:val="000000" w:themeColor="text1"/>
        </w:rPr>
        <w:t xml:space="preserve"> when compared to a country with an alcohol consumption</w:t>
      </w:r>
      <w:r w:rsidR="00B12E28">
        <w:rPr>
          <w:color w:val="000000" w:themeColor="text1"/>
        </w:rPr>
        <w:t xml:space="preserve"> rate of zero liters per capita. </w:t>
      </w:r>
      <w:r w:rsidR="006E2341">
        <w:rPr>
          <w:color w:val="000000" w:themeColor="text1"/>
        </w:rPr>
        <w:t>Even a</w:t>
      </w:r>
      <w:r w:rsidR="009A2A2E">
        <w:rPr>
          <w:color w:val="000000" w:themeColor="text1"/>
        </w:rPr>
        <w:t xml:space="preserve">lcohol consumption </w:t>
      </w:r>
      <w:r w:rsidR="006E2341">
        <w:rPr>
          <w:color w:val="000000" w:themeColor="text1"/>
        </w:rPr>
        <w:t xml:space="preserve">alone may </w:t>
      </w:r>
      <w:r w:rsidR="00242046" w:rsidRPr="00FF6063">
        <w:rPr>
          <w:color w:val="000000" w:themeColor="text1"/>
        </w:rPr>
        <w:t xml:space="preserve">account for </w:t>
      </w:r>
      <w:r w:rsidR="006E2341">
        <w:rPr>
          <w:color w:val="000000" w:themeColor="text1"/>
        </w:rPr>
        <w:t>over</w:t>
      </w:r>
      <w:r w:rsidR="00E5601A">
        <w:rPr>
          <w:color w:val="000000" w:themeColor="text1"/>
        </w:rPr>
        <w:t xml:space="preserve"> </w:t>
      </w:r>
      <w:r w:rsidR="00242046" w:rsidRPr="00FF6063">
        <w:rPr>
          <w:color w:val="000000" w:themeColor="text1"/>
        </w:rPr>
        <w:t>8,</w:t>
      </w:r>
      <w:r w:rsidR="00E5601A">
        <w:rPr>
          <w:color w:val="000000" w:themeColor="text1"/>
        </w:rPr>
        <w:t>000</w:t>
      </w:r>
      <w:r w:rsidR="00E5601A" w:rsidRPr="00FF6063">
        <w:rPr>
          <w:color w:val="000000" w:themeColor="text1"/>
        </w:rPr>
        <w:t xml:space="preserve"> </w:t>
      </w:r>
      <w:r w:rsidR="00242046" w:rsidRPr="00FF6063">
        <w:rPr>
          <w:color w:val="000000" w:themeColor="text1"/>
        </w:rPr>
        <w:t xml:space="preserve">suicides, which is approximately 20% of the suicides in Russia in 2016. </w:t>
      </w:r>
    </w:p>
    <w:p w:rsidR="00EE2F1E" w:rsidRPr="00FF6063" w:rsidRDefault="00242046">
      <w:pPr>
        <w:spacing w:line="240" w:lineRule="auto"/>
        <w:ind w:firstLine="720"/>
        <w:rPr>
          <w:color w:val="000000" w:themeColor="text1"/>
        </w:rPr>
      </w:pPr>
      <w:r w:rsidRPr="00FF6063">
        <w:rPr>
          <w:color w:val="000000" w:themeColor="text1"/>
        </w:rPr>
        <w:t xml:space="preserve">Our model </w:t>
      </w:r>
      <w:r w:rsidR="003D1306">
        <w:rPr>
          <w:color w:val="000000" w:themeColor="text1"/>
        </w:rPr>
        <w:t>validates</w:t>
      </w:r>
      <w:r w:rsidRPr="00FF6063">
        <w:rPr>
          <w:color w:val="000000" w:themeColor="text1"/>
        </w:rPr>
        <w:t xml:space="preserve"> the existing literature on the comorbidity of substance abuse disorders and suicidality [1] by evaluating different components of substance abuse on an international scale. By illustrating the consequences of substance abuse disorders, we hope to influence policy makers to actively implement programs for those in need. Although addressing mental health directly is often very challenging, the significant relationship between substance use and suicidality leads us to believe that there are pragmatic policy decisions a country can make to reduce the loss of life.</w:t>
      </w:r>
    </w:p>
    <w:p w:rsidR="00E231D3" w:rsidRDefault="00E231D3">
      <w:pPr>
        <w:spacing w:line="240" w:lineRule="auto"/>
        <w:rPr>
          <w:b/>
          <w:color w:val="000000" w:themeColor="text1"/>
        </w:rPr>
      </w:pPr>
    </w:p>
    <w:p w:rsidR="00E231D3" w:rsidRDefault="00E231D3">
      <w:pPr>
        <w:spacing w:line="240" w:lineRule="auto"/>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AD6705" w:rsidRDefault="00AD6705" w:rsidP="00252353">
      <w:pPr>
        <w:spacing w:line="240" w:lineRule="auto"/>
        <w:outlineLvl w:val="0"/>
        <w:rPr>
          <w:b/>
          <w:color w:val="000000" w:themeColor="text1"/>
        </w:rPr>
      </w:pPr>
    </w:p>
    <w:p w:rsidR="00EE2F1E" w:rsidRPr="00FF6063" w:rsidRDefault="00242046" w:rsidP="00252353">
      <w:pPr>
        <w:spacing w:line="240" w:lineRule="auto"/>
        <w:outlineLvl w:val="0"/>
        <w:rPr>
          <w:b/>
          <w:color w:val="000000" w:themeColor="text1"/>
        </w:rPr>
      </w:pPr>
      <w:r w:rsidRPr="00FF6063">
        <w:rPr>
          <w:b/>
          <w:color w:val="000000" w:themeColor="text1"/>
        </w:rPr>
        <w:lastRenderedPageBreak/>
        <w:t>References</w:t>
      </w:r>
    </w:p>
    <w:p w:rsidR="00EE2F1E" w:rsidRPr="00FF6063" w:rsidRDefault="00EE2F1E">
      <w:pPr>
        <w:spacing w:line="240" w:lineRule="auto"/>
        <w:rPr>
          <w:color w:val="000000" w:themeColor="text1"/>
        </w:rPr>
      </w:pPr>
    </w:p>
    <w:p w:rsidR="00EE2F1E" w:rsidRPr="00FF6063" w:rsidRDefault="00242046">
      <w:pPr>
        <w:spacing w:line="240" w:lineRule="auto"/>
        <w:rPr>
          <w:color w:val="000000" w:themeColor="text1"/>
          <w:highlight w:val="white"/>
        </w:rPr>
      </w:pPr>
      <w:r w:rsidRPr="00FF6063">
        <w:rPr>
          <w:color w:val="000000" w:themeColor="text1"/>
          <w:highlight w:val="white"/>
        </w:rPr>
        <w:t xml:space="preserve">1. </w:t>
      </w:r>
      <w:proofErr w:type="spellStart"/>
      <w:r w:rsidRPr="00FF6063">
        <w:rPr>
          <w:color w:val="000000" w:themeColor="text1"/>
          <w:highlight w:val="white"/>
        </w:rPr>
        <w:t>Pompili</w:t>
      </w:r>
      <w:proofErr w:type="spellEnd"/>
      <w:r w:rsidRPr="00FF6063">
        <w:rPr>
          <w:color w:val="000000" w:themeColor="text1"/>
          <w:highlight w:val="white"/>
        </w:rPr>
        <w:t xml:space="preserve"> M, </w:t>
      </w:r>
      <w:proofErr w:type="spellStart"/>
      <w:r w:rsidRPr="00FF6063">
        <w:rPr>
          <w:color w:val="000000" w:themeColor="text1"/>
          <w:highlight w:val="white"/>
        </w:rPr>
        <w:t>Serafini</w:t>
      </w:r>
      <w:proofErr w:type="spellEnd"/>
      <w:r w:rsidRPr="00FF6063">
        <w:rPr>
          <w:color w:val="000000" w:themeColor="text1"/>
          <w:highlight w:val="white"/>
        </w:rPr>
        <w:t xml:space="preserve"> G, </w:t>
      </w:r>
      <w:proofErr w:type="spellStart"/>
      <w:r w:rsidRPr="00FF6063">
        <w:rPr>
          <w:color w:val="000000" w:themeColor="text1"/>
          <w:highlight w:val="white"/>
        </w:rPr>
        <w:t>Innamorati</w:t>
      </w:r>
      <w:proofErr w:type="spellEnd"/>
      <w:r w:rsidRPr="00FF6063">
        <w:rPr>
          <w:color w:val="000000" w:themeColor="text1"/>
          <w:highlight w:val="white"/>
        </w:rPr>
        <w:t xml:space="preserve"> M, et al. Suicidal behavior and alcohol abuse. </w:t>
      </w:r>
      <w:proofErr w:type="spellStart"/>
      <w:r w:rsidRPr="00FF6063">
        <w:rPr>
          <w:i/>
          <w:color w:val="000000" w:themeColor="text1"/>
          <w:highlight w:val="white"/>
        </w:rPr>
        <w:t>Int</w:t>
      </w:r>
      <w:proofErr w:type="spellEnd"/>
      <w:r w:rsidRPr="00FF6063">
        <w:rPr>
          <w:i/>
          <w:color w:val="000000" w:themeColor="text1"/>
          <w:highlight w:val="white"/>
        </w:rPr>
        <w:t xml:space="preserve"> J Environ Res Public Health</w:t>
      </w:r>
      <w:r w:rsidRPr="00FF6063">
        <w:rPr>
          <w:color w:val="000000" w:themeColor="text1"/>
          <w:highlight w:val="white"/>
        </w:rPr>
        <w:t xml:space="preserve">. 2010;7(4):1392-431. Retrieved from </w:t>
      </w:r>
      <w:r w:rsidRPr="00FF6063">
        <w:rPr>
          <w:color w:val="000000" w:themeColor="text1"/>
          <w:highlight w:val="white"/>
          <w:u w:val="single"/>
        </w:rPr>
        <w:t>https://www.ncbi.nlm.nih.gov/pmc/articles/PMC2872355/</w:t>
      </w:r>
    </w:p>
    <w:p w:rsidR="00EE2F1E" w:rsidRPr="00FF6063" w:rsidRDefault="00EE2F1E">
      <w:pPr>
        <w:spacing w:line="240" w:lineRule="auto"/>
        <w:rPr>
          <w:color w:val="000000" w:themeColor="text1"/>
        </w:rPr>
      </w:pPr>
    </w:p>
    <w:p w:rsidR="00EE2F1E" w:rsidRPr="00FF6063" w:rsidRDefault="00242046">
      <w:pPr>
        <w:spacing w:line="240" w:lineRule="auto"/>
        <w:rPr>
          <w:color w:val="000000" w:themeColor="text1"/>
        </w:rPr>
      </w:pPr>
      <w:r w:rsidRPr="00FF6063">
        <w:rPr>
          <w:color w:val="000000" w:themeColor="text1"/>
        </w:rPr>
        <w:t xml:space="preserve">2. Stone DM, Simon TR, Fowler KA, et al. (2015) Vital Signs Trends in State Suicide Rates — United States, 1999–2016 and Circumstances Contributing to Suicide — 27 States, 2015. </w:t>
      </w:r>
      <w:r w:rsidRPr="00FF6063">
        <w:rPr>
          <w:i/>
          <w:color w:val="000000" w:themeColor="text1"/>
        </w:rPr>
        <w:t xml:space="preserve">MMWR </w:t>
      </w:r>
      <w:proofErr w:type="spellStart"/>
      <w:r w:rsidRPr="00FF6063">
        <w:rPr>
          <w:i/>
          <w:color w:val="000000" w:themeColor="text1"/>
        </w:rPr>
        <w:t>Morb</w:t>
      </w:r>
      <w:proofErr w:type="spellEnd"/>
      <w:r w:rsidRPr="00FF6063">
        <w:rPr>
          <w:i/>
          <w:color w:val="000000" w:themeColor="text1"/>
        </w:rPr>
        <w:t xml:space="preserve"> Mortal </w:t>
      </w:r>
      <w:proofErr w:type="spellStart"/>
      <w:r w:rsidRPr="00FF6063">
        <w:rPr>
          <w:i/>
          <w:color w:val="000000" w:themeColor="text1"/>
        </w:rPr>
        <w:t>Wkly</w:t>
      </w:r>
      <w:proofErr w:type="spellEnd"/>
      <w:r w:rsidRPr="00FF6063">
        <w:rPr>
          <w:i/>
          <w:color w:val="000000" w:themeColor="text1"/>
        </w:rPr>
        <w:t xml:space="preserve"> Rep 2018</w:t>
      </w:r>
      <w:r w:rsidRPr="00FF6063">
        <w:rPr>
          <w:color w:val="000000" w:themeColor="text1"/>
        </w:rPr>
        <w:t xml:space="preserve">, 67:617–624. Retrieved From </w:t>
      </w:r>
      <w:hyperlink r:id="rId11">
        <w:r w:rsidRPr="00FF6063">
          <w:rPr>
            <w:color w:val="000000" w:themeColor="text1"/>
            <w:u w:val="single"/>
          </w:rPr>
          <w:t>https://www.cdc.gov/mmwr/volumes/67/wr/mm6722a1.htm?s_cid=mm6722a1_w</w:t>
        </w:r>
      </w:hyperlink>
    </w:p>
    <w:p w:rsidR="00EE2F1E" w:rsidRPr="00FF6063" w:rsidRDefault="00EE2F1E">
      <w:pPr>
        <w:rPr>
          <w:color w:val="000000" w:themeColor="text1"/>
        </w:rPr>
      </w:pPr>
    </w:p>
    <w:p w:rsidR="00EE2F1E" w:rsidRPr="00FF6063" w:rsidRDefault="00242046">
      <w:pPr>
        <w:spacing w:line="240" w:lineRule="auto"/>
        <w:rPr>
          <w:color w:val="000000" w:themeColor="text1"/>
          <w:u w:val="single"/>
        </w:rPr>
      </w:pPr>
      <w:r w:rsidRPr="00FF6063">
        <w:rPr>
          <w:color w:val="000000" w:themeColor="text1"/>
        </w:rPr>
        <w:t xml:space="preserve">3. Ritchie, H. &amp; </w:t>
      </w:r>
      <w:proofErr w:type="spellStart"/>
      <w:r w:rsidRPr="00FF6063">
        <w:rPr>
          <w:color w:val="000000" w:themeColor="text1"/>
        </w:rPr>
        <w:t>Roser</w:t>
      </w:r>
      <w:proofErr w:type="spellEnd"/>
      <w:r w:rsidRPr="00FF6063">
        <w:rPr>
          <w:color w:val="000000" w:themeColor="text1"/>
        </w:rPr>
        <w:t xml:space="preserve">, M. (2018) Substance Use. </w:t>
      </w:r>
      <w:r w:rsidRPr="00FF6063">
        <w:rPr>
          <w:i/>
          <w:color w:val="000000" w:themeColor="text1"/>
        </w:rPr>
        <w:t xml:space="preserve">Our World in Data. </w:t>
      </w:r>
      <w:r w:rsidRPr="00FF6063">
        <w:rPr>
          <w:color w:val="000000" w:themeColor="text1"/>
        </w:rPr>
        <w:t xml:space="preserve">Retrieved From </w:t>
      </w:r>
      <w:hyperlink r:id="rId12">
        <w:r w:rsidRPr="00FF6063">
          <w:rPr>
            <w:color w:val="000000" w:themeColor="text1"/>
            <w:u w:val="single"/>
          </w:rPr>
          <w:t>https://ourworldindata.org/substance-use</w:t>
        </w:r>
      </w:hyperlink>
    </w:p>
    <w:p w:rsidR="00EE2F1E" w:rsidRPr="00FF6063" w:rsidRDefault="00EE2F1E">
      <w:pPr>
        <w:rPr>
          <w:color w:val="000000" w:themeColor="text1"/>
          <w:u w:val="single"/>
        </w:rPr>
      </w:pPr>
    </w:p>
    <w:p w:rsidR="00EE2F1E" w:rsidRPr="00FF6063" w:rsidRDefault="00242046">
      <w:pPr>
        <w:spacing w:line="240" w:lineRule="auto"/>
        <w:rPr>
          <w:color w:val="000000" w:themeColor="text1"/>
        </w:rPr>
      </w:pPr>
      <w:r w:rsidRPr="00FF6063">
        <w:rPr>
          <w:color w:val="000000" w:themeColor="text1"/>
        </w:rPr>
        <w:t xml:space="preserve">4. World Health Organization (2018) Suicide Rate Estimates, Crude Estimates by Country. </w:t>
      </w:r>
      <w:r w:rsidRPr="00FF6063">
        <w:rPr>
          <w:i/>
          <w:color w:val="000000" w:themeColor="text1"/>
        </w:rPr>
        <w:t>Global</w:t>
      </w:r>
      <w:r w:rsidRPr="00FF6063">
        <w:rPr>
          <w:i/>
          <w:color w:val="000000" w:themeColor="text1"/>
        </w:rPr>
        <w:tab/>
        <w:t xml:space="preserve">Health Observatory Data Repository. </w:t>
      </w:r>
      <w:r w:rsidRPr="00FF6063">
        <w:rPr>
          <w:color w:val="000000" w:themeColor="text1"/>
        </w:rPr>
        <w:t xml:space="preserve">Retrieved From </w:t>
      </w:r>
      <w:hyperlink r:id="rId13">
        <w:r w:rsidRPr="00FF6063">
          <w:rPr>
            <w:color w:val="000000" w:themeColor="text1"/>
            <w:u w:val="single"/>
          </w:rPr>
          <w:t>http://apps.who.int/gho/data/view.main.MHSUICIDEv?lang=en</w:t>
        </w:r>
      </w:hyperlink>
    </w:p>
    <w:p w:rsidR="00EE2F1E" w:rsidRPr="00FF6063" w:rsidRDefault="00EE2F1E">
      <w:pPr>
        <w:spacing w:line="240" w:lineRule="auto"/>
        <w:rPr>
          <w:color w:val="000000" w:themeColor="text1"/>
        </w:rPr>
      </w:pPr>
    </w:p>
    <w:p w:rsidR="00EE2F1E" w:rsidRPr="00FF6063" w:rsidRDefault="00242046">
      <w:pPr>
        <w:spacing w:line="240" w:lineRule="auto"/>
        <w:rPr>
          <w:color w:val="000000" w:themeColor="text1"/>
        </w:rPr>
      </w:pPr>
      <w:r w:rsidRPr="00FF6063">
        <w:rPr>
          <w:color w:val="000000" w:themeColor="text1"/>
        </w:rPr>
        <w:t xml:space="preserve">5. World Bank (2018) Total alcohol consumption per capita (liters of pure alcohol, projected estimates, 15+ years of age.) </w:t>
      </w:r>
      <w:r w:rsidRPr="00FF6063">
        <w:rPr>
          <w:i/>
          <w:color w:val="000000" w:themeColor="text1"/>
        </w:rPr>
        <w:t xml:space="preserve">World Health Organization, Global Health Observatory Data Repository. </w:t>
      </w:r>
      <w:r w:rsidRPr="00FF6063">
        <w:rPr>
          <w:color w:val="000000" w:themeColor="text1"/>
        </w:rPr>
        <w:t xml:space="preserve">Retrieved From </w:t>
      </w:r>
      <w:hyperlink r:id="rId14">
        <w:r w:rsidRPr="00FF6063">
          <w:rPr>
            <w:color w:val="000000" w:themeColor="text1"/>
            <w:u w:val="single"/>
          </w:rPr>
          <w:t>https://data.worldbank.org/indicator/SH.ALC.PCAP.LI?end=2016&amp;start=2016&amp;view=chart</w:t>
        </w:r>
      </w:hyperlink>
    </w:p>
    <w:p w:rsidR="00EE2F1E" w:rsidRPr="00FF6063" w:rsidRDefault="00EE2F1E">
      <w:pPr>
        <w:spacing w:line="240" w:lineRule="auto"/>
        <w:rPr>
          <w:color w:val="000000" w:themeColor="text1"/>
        </w:rPr>
      </w:pPr>
    </w:p>
    <w:p w:rsidR="00EE2F1E" w:rsidRPr="00FF6063" w:rsidRDefault="00242046">
      <w:pPr>
        <w:spacing w:line="240" w:lineRule="auto"/>
        <w:rPr>
          <w:color w:val="000000" w:themeColor="text1"/>
          <w:u w:val="single"/>
        </w:rPr>
      </w:pPr>
      <w:r w:rsidRPr="00FF6063">
        <w:rPr>
          <w:color w:val="000000" w:themeColor="text1"/>
        </w:rPr>
        <w:t xml:space="preserve">6. World Bank (2018) </w:t>
      </w:r>
      <w:proofErr w:type="gramStart"/>
      <w:r w:rsidRPr="00FF6063">
        <w:rPr>
          <w:color w:val="000000" w:themeColor="text1"/>
        </w:rPr>
        <w:t>( 1</w:t>
      </w:r>
      <w:proofErr w:type="gramEnd"/>
      <w:r w:rsidRPr="00FF6063">
        <w:rPr>
          <w:color w:val="000000" w:themeColor="text1"/>
        </w:rPr>
        <w:t xml:space="preserve"> ) United Nations Population Division. World Population Prospects: 2017 Revision. </w:t>
      </w:r>
      <w:proofErr w:type="gramStart"/>
      <w:r w:rsidRPr="00FF6063">
        <w:rPr>
          <w:color w:val="000000" w:themeColor="text1"/>
        </w:rPr>
        <w:t>( 2</w:t>
      </w:r>
      <w:proofErr w:type="gramEnd"/>
      <w:r w:rsidRPr="00FF6063">
        <w:rPr>
          <w:color w:val="000000" w:themeColor="text1"/>
        </w:rPr>
        <w:t xml:space="preserve"> ) Census reports and other statistical publications from national statistical offices, ( 3 ) Eurostat: Demographic Statistics, ( 4 ) United Nations Statistical Division. Population and Vital Statistics Report </w:t>
      </w:r>
      <w:proofErr w:type="gramStart"/>
      <w:r w:rsidRPr="00FF6063">
        <w:rPr>
          <w:color w:val="000000" w:themeColor="text1"/>
        </w:rPr>
        <w:t>( various</w:t>
      </w:r>
      <w:proofErr w:type="gramEnd"/>
      <w:r w:rsidRPr="00FF6063">
        <w:rPr>
          <w:color w:val="000000" w:themeColor="text1"/>
        </w:rPr>
        <w:t xml:space="preserve"> years ), ( 5 ) U.S. Census Bureau: International Database, and ( 6 ) Secretariat of the Pacific Community: Statistics and Demography </w:t>
      </w:r>
      <w:proofErr w:type="spellStart"/>
      <w:r w:rsidRPr="00FF6063">
        <w:rPr>
          <w:color w:val="000000" w:themeColor="text1"/>
        </w:rPr>
        <w:t>Programme</w:t>
      </w:r>
      <w:proofErr w:type="spellEnd"/>
      <w:r w:rsidRPr="00FF6063">
        <w:rPr>
          <w:color w:val="000000" w:themeColor="text1"/>
        </w:rPr>
        <w:t xml:space="preserve">. </w:t>
      </w:r>
      <w:r w:rsidRPr="00FF6063">
        <w:rPr>
          <w:i/>
          <w:color w:val="000000" w:themeColor="text1"/>
        </w:rPr>
        <w:t xml:space="preserve">World Health Organization, Global Health Observatory Data Repository. </w:t>
      </w:r>
      <w:r w:rsidRPr="00FF6063">
        <w:rPr>
          <w:color w:val="000000" w:themeColor="text1"/>
        </w:rPr>
        <w:t xml:space="preserve">Retrieved From </w:t>
      </w:r>
      <w:hyperlink r:id="rId15">
        <w:r w:rsidRPr="00FF6063">
          <w:rPr>
            <w:color w:val="000000" w:themeColor="text1"/>
            <w:u w:val="single"/>
          </w:rPr>
          <w:t>https://data.worldbank.org/indicator/SP.POP.TOTL</w:t>
        </w:r>
      </w:hyperlink>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color w:val="000000" w:themeColor="text1"/>
          <w:u w:val="single"/>
        </w:rPr>
      </w:pPr>
    </w:p>
    <w:p w:rsidR="00EE2F1E" w:rsidRPr="00FF6063" w:rsidRDefault="00EE2F1E">
      <w:pPr>
        <w:rPr>
          <w:b/>
          <w:color w:val="000000" w:themeColor="text1"/>
        </w:rPr>
      </w:pPr>
    </w:p>
    <w:p w:rsidR="00FF6063" w:rsidRDefault="00FF6063">
      <w:pPr>
        <w:rPr>
          <w:b/>
          <w:color w:val="000000" w:themeColor="text1"/>
        </w:rPr>
      </w:pPr>
    </w:p>
    <w:p w:rsidR="00FF6063" w:rsidRDefault="00FF6063">
      <w:pPr>
        <w:rPr>
          <w:b/>
          <w:color w:val="000000" w:themeColor="text1"/>
        </w:rPr>
      </w:pPr>
    </w:p>
    <w:p w:rsidR="00C73A93" w:rsidRDefault="00242046" w:rsidP="00252353">
      <w:pPr>
        <w:outlineLvl w:val="0"/>
        <w:rPr>
          <w:b/>
          <w:color w:val="000000" w:themeColor="text1"/>
        </w:rPr>
      </w:pPr>
      <w:r w:rsidRPr="00FF6063">
        <w:rPr>
          <w:b/>
          <w:color w:val="000000" w:themeColor="text1"/>
        </w:rPr>
        <w:lastRenderedPageBreak/>
        <w:t>Appendix</w:t>
      </w:r>
    </w:p>
    <w:p w:rsidR="006E6ECD" w:rsidRDefault="006E6ECD" w:rsidP="00252353">
      <w:pPr>
        <w:outlineLvl w:val="0"/>
        <w:rPr>
          <w:b/>
          <w:color w:val="000000" w:themeColor="text1"/>
        </w:rPr>
      </w:pPr>
    </w:p>
    <w:p w:rsidR="006E6ECD" w:rsidRPr="00C73A93" w:rsidRDefault="006E6ECD" w:rsidP="00252353">
      <w:pPr>
        <w:outlineLvl w:val="0"/>
        <w:rPr>
          <w:b/>
          <w:color w:val="000000" w:themeColor="text1"/>
        </w:rPr>
      </w:pPr>
      <w:r>
        <w:rPr>
          <w:rFonts w:eastAsia="Times New Roman"/>
          <w:b/>
          <w:color w:val="000000"/>
          <w:sz w:val="18"/>
          <w:szCs w:val="18"/>
          <w:lang w:val="en-US"/>
        </w:rPr>
        <w:t xml:space="preserve">          </w:t>
      </w:r>
      <w:r>
        <w:rPr>
          <w:rFonts w:eastAsia="Times New Roman"/>
          <w:b/>
          <w:color w:val="000000"/>
          <w:sz w:val="18"/>
          <w:szCs w:val="18"/>
          <w:lang w:val="en-US"/>
        </w:rPr>
        <w:t>Figure 2.</w:t>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t xml:space="preserve">      </w:t>
      </w:r>
      <w:r>
        <w:rPr>
          <w:rFonts w:eastAsia="Times New Roman"/>
          <w:b/>
          <w:color w:val="000000"/>
          <w:sz w:val="18"/>
          <w:szCs w:val="18"/>
          <w:lang w:val="en-US"/>
        </w:rPr>
        <w:t xml:space="preserve">       </w:t>
      </w:r>
      <w:r>
        <w:rPr>
          <w:rFonts w:eastAsia="Times New Roman"/>
          <w:b/>
          <w:color w:val="000000"/>
          <w:sz w:val="18"/>
          <w:szCs w:val="18"/>
          <w:lang w:val="en-US"/>
        </w:rPr>
        <w:t>Figure 3.</w:t>
      </w:r>
    </w:p>
    <w:p w:rsidR="00C73A93" w:rsidRDefault="00C73A93" w:rsidP="000E6FEB">
      <w:pPr>
        <w:rPr>
          <w:rFonts w:eastAsia="Times New Roman"/>
          <w:color w:val="000000"/>
          <w:lang w:val="en-US"/>
        </w:rPr>
      </w:pPr>
      <w:r>
        <w:rPr>
          <w:rFonts w:eastAsia="Times New Roman"/>
          <w:noProof/>
          <w:color w:val="000000"/>
          <w:lang w:val="en-US"/>
        </w:rPr>
        <w:drawing>
          <wp:inline distT="0" distB="0" distL="0" distR="0">
            <wp:extent cx="2795270" cy="16948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rug_death_plot.png"/>
                    <pic:cNvPicPr/>
                  </pic:nvPicPr>
                  <pic:blipFill>
                    <a:blip r:embed="rId16">
                      <a:extLst>
                        <a:ext uri="{28A0092B-C50C-407E-A947-70E740481C1C}">
                          <a14:useLocalDpi xmlns:a14="http://schemas.microsoft.com/office/drawing/2010/main" val="0"/>
                        </a:ext>
                      </a:extLst>
                    </a:blip>
                    <a:stretch>
                      <a:fillRect/>
                    </a:stretch>
                  </pic:blipFill>
                  <pic:spPr>
                    <a:xfrm>
                      <a:off x="0" y="0"/>
                      <a:ext cx="2807035" cy="1702002"/>
                    </a:xfrm>
                    <a:prstGeom prst="rect">
                      <a:avLst/>
                    </a:prstGeom>
                  </pic:spPr>
                </pic:pic>
              </a:graphicData>
            </a:graphic>
          </wp:inline>
        </w:drawing>
      </w:r>
      <w:r>
        <w:rPr>
          <w:rFonts w:eastAsia="Times New Roman"/>
          <w:noProof/>
          <w:color w:val="000000"/>
          <w:lang w:val="en-US"/>
        </w:rPr>
        <w:drawing>
          <wp:inline distT="0" distB="0" distL="0" distR="0">
            <wp:extent cx="3081063" cy="172874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lcohol_deaths_plot.png"/>
                    <pic:cNvPicPr/>
                  </pic:nvPicPr>
                  <pic:blipFill>
                    <a:blip r:embed="rId17">
                      <a:extLst>
                        <a:ext uri="{28A0092B-C50C-407E-A947-70E740481C1C}">
                          <a14:useLocalDpi xmlns:a14="http://schemas.microsoft.com/office/drawing/2010/main" val="0"/>
                        </a:ext>
                      </a:extLst>
                    </a:blip>
                    <a:stretch>
                      <a:fillRect/>
                    </a:stretch>
                  </pic:blipFill>
                  <pic:spPr>
                    <a:xfrm>
                      <a:off x="0" y="0"/>
                      <a:ext cx="3126170" cy="1754049"/>
                    </a:xfrm>
                    <a:prstGeom prst="rect">
                      <a:avLst/>
                    </a:prstGeom>
                  </pic:spPr>
                </pic:pic>
              </a:graphicData>
            </a:graphic>
          </wp:inline>
        </w:drawing>
      </w:r>
    </w:p>
    <w:p w:rsidR="00C73A93" w:rsidRDefault="00C73A93" w:rsidP="000E6FEB">
      <w:pPr>
        <w:rPr>
          <w:rFonts w:eastAsia="Times New Roman"/>
          <w:color w:val="000000"/>
          <w:lang w:val="en-US"/>
        </w:rPr>
      </w:pPr>
    </w:p>
    <w:p w:rsidR="000E6FEB" w:rsidRDefault="000E6FEB" w:rsidP="000E6FEB">
      <w:pPr>
        <w:rPr>
          <w:rFonts w:eastAsia="Times New Roman"/>
          <w:b/>
          <w:color w:val="000000"/>
          <w:sz w:val="18"/>
          <w:szCs w:val="18"/>
          <w:lang w:val="en-US"/>
        </w:rPr>
      </w:pPr>
      <w:r>
        <w:rPr>
          <w:rFonts w:eastAsia="Times New Roman"/>
          <w:color w:val="000000"/>
          <w:lang w:val="en-US"/>
        </w:rPr>
        <w:t xml:space="preserve">         </w:t>
      </w:r>
    </w:p>
    <w:p w:rsidR="000E6FEB" w:rsidRDefault="00EB5E8B" w:rsidP="000E6FEB">
      <w:pPr>
        <w:rPr>
          <w:rFonts w:eastAsia="Times New Roman"/>
          <w:b/>
          <w:color w:val="000000"/>
          <w:sz w:val="18"/>
          <w:szCs w:val="18"/>
          <w:lang w:val="en-US"/>
        </w:rPr>
      </w:pPr>
      <w:r>
        <w:rPr>
          <w:rFonts w:eastAsia="Times New Roman"/>
          <w:b/>
          <w:color w:val="000000"/>
          <w:sz w:val="18"/>
          <w:szCs w:val="18"/>
          <w:lang w:val="en-US"/>
        </w:rPr>
        <w:t xml:space="preserve">          </w:t>
      </w:r>
      <w:r>
        <w:rPr>
          <w:rFonts w:eastAsia="Times New Roman"/>
          <w:b/>
          <w:color w:val="000000"/>
          <w:sz w:val="18"/>
          <w:szCs w:val="18"/>
          <w:lang w:val="en-US"/>
        </w:rPr>
        <w:t>Figure 4.</w:t>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r>
      <w:r>
        <w:rPr>
          <w:rFonts w:eastAsia="Times New Roman"/>
          <w:b/>
          <w:color w:val="000000"/>
          <w:sz w:val="18"/>
          <w:szCs w:val="18"/>
          <w:lang w:val="en-US"/>
        </w:rPr>
        <w:tab/>
        <w:t xml:space="preserve">    </w:t>
      </w:r>
      <w:r>
        <w:rPr>
          <w:rFonts w:eastAsia="Times New Roman"/>
          <w:b/>
          <w:color w:val="000000"/>
          <w:sz w:val="18"/>
          <w:szCs w:val="18"/>
          <w:lang w:val="en-US"/>
        </w:rPr>
        <w:t xml:space="preserve">          </w:t>
      </w:r>
      <w:r>
        <w:rPr>
          <w:rFonts w:eastAsia="Times New Roman"/>
          <w:b/>
          <w:color w:val="000000"/>
          <w:sz w:val="18"/>
          <w:szCs w:val="18"/>
          <w:lang w:val="en-US"/>
        </w:rPr>
        <w:t xml:space="preserve"> Figure 5.</w:t>
      </w:r>
    </w:p>
    <w:p w:rsidR="000E6FEB" w:rsidRDefault="000E6FEB" w:rsidP="000E6FEB">
      <w:pPr>
        <w:rPr>
          <w:rFonts w:ascii="Times New Roman" w:eastAsia="Times New Roman" w:hAnsi="Times New Roman" w:cs="Times New Roman"/>
          <w:sz w:val="24"/>
          <w:szCs w:val="24"/>
          <w:lang w:val="en-US"/>
        </w:rPr>
      </w:pPr>
      <w:r w:rsidRPr="000E6FEB">
        <w:rPr>
          <w:rFonts w:ascii="Times New Roman" w:eastAsia="Times New Roman" w:hAnsi="Times New Roman" w:cs="Times New Roman"/>
          <w:sz w:val="24"/>
          <w:szCs w:val="24"/>
          <w:lang w:val="en-US"/>
        </w:rPr>
        <w:fldChar w:fldCharType="begin"/>
      </w:r>
      <w:r w:rsidRPr="000E6FEB">
        <w:rPr>
          <w:rFonts w:ascii="Times New Roman" w:eastAsia="Times New Roman" w:hAnsi="Times New Roman" w:cs="Times New Roman"/>
          <w:sz w:val="24"/>
          <w:szCs w:val="24"/>
          <w:lang w:val="en-US"/>
        </w:rPr>
        <w:instrText xml:space="preserve"> INCLUDEPICTURE "https://lh3.googleusercontent.com/fDlu2wgpqM0EgVO0XkX5FiOP22vafHruHDEWXLqsw5X21baGuTLwaKdcyfwvpjm3iV8OUBwyH_4mUHFgGU03l1X71LHMm2FBZ1W1rgvPJ2G7R1frSBI255yVgeTngp7spOowgtBO" \* MERGEFORMATINET </w:instrText>
      </w:r>
      <w:r w:rsidRPr="000E6FEB">
        <w:rPr>
          <w:rFonts w:ascii="Times New Roman" w:eastAsia="Times New Roman" w:hAnsi="Times New Roman" w:cs="Times New Roman"/>
          <w:sz w:val="24"/>
          <w:szCs w:val="24"/>
          <w:lang w:val="en-US"/>
        </w:rPr>
        <w:fldChar w:fldCharType="separate"/>
      </w:r>
      <w:r w:rsidRPr="000E6FEB">
        <w:rPr>
          <w:rFonts w:ascii="Times New Roman" w:eastAsia="Times New Roman" w:hAnsi="Times New Roman" w:cs="Times New Roman"/>
          <w:noProof/>
          <w:sz w:val="24"/>
          <w:szCs w:val="24"/>
          <w:lang w:val="en-US"/>
        </w:rPr>
        <w:drawing>
          <wp:inline distT="0" distB="0" distL="0" distR="0">
            <wp:extent cx="2832513" cy="1720850"/>
            <wp:effectExtent l="0" t="0" r="0" b="0"/>
            <wp:docPr id="13" name="Picture 13" descr="https://lh3.googleusercontent.com/fDlu2wgpqM0EgVO0XkX5FiOP22vafHruHDEWXLqsw5X21baGuTLwaKdcyfwvpjm3iV8OUBwyH_4mUHFgGU03l1X71LHMm2FBZ1W1rgvPJ2G7R1frSBI255yVgeTngp7spOowgt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fDlu2wgpqM0EgVO0XkX5FiOP22vafHruHDEWXLqsw5X21baGuTLwaKdcyfwvpjm3iV8OUBwyH_4mUHFgGU03l1X71LHMm2FBZ1W1rgvPJ2G7R1frSBI255yVgeTngp7spOowgtB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558" cy="1734243"/>
                    </a:xfrm>
                    <a:prstGeom prst="rect">
                      <a:avLst/>
                    </a:prstGeom>
                    <a:noFill/>
                    <a:ln>
                      <a:noFill/>
                    </a:ln>
                  </pic:spPr>
                </pic:pic>
              </a:graphicData>
            </a:graphic>
          </wp:inline>
        </w:drawing>
      </w:r>
      <w:r w:rsidRPr="000E6FEB">
        <w:rPr>
          <w:rFonts w:ascii="Times New Roman" w:eastAsia="Times New Roman" w:hAnsi="Times New Roman" w:cs="Times New Roman"/>
          <w:sz w:val="24"/>
          <w:szCs w:val="24"/>
          <w:lang w:val="en-US"/>
        </w:rPr>
        <w:fldChar w:fldCharType="end"/>
      </w:r>
      <w:r w:rsidRPr="000E6FEB">
        <w:t xml:space="preserve"> </w:t>
      </w:r>
      <w:r w:rsidR="00976688">
        <w:rPr>
          <w:rFonts w:ascii="Times New Roman" w:eastAsia="Times New Roman" w:hAnsi="Times New Roman" w:cs="Times New Roman"/>
          <w:noProof/>
          <w:sz w:val="24"/>
          <w:szCs w:val="24"/>
          <w:lang w:val="en-US"/>
        </w:rPr>
        <w:drawing>
          <wp:inline distT="0" distB="0" distL="0" distR="0">
            <wp:extent cx="2915275" cy="17676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duals_VS_fitted.png"/>
                    <pic:cNvPicPr/>
                  </pic:nvPicPr>
                  <pic:blipFill>
                    <a:blip r:embed="rId19">
                      <a:extLst>
                        <a:ext uri="{28A0092B-C50C-407E-A947-70E740481C1C}">
                          <a14:useLocalDpi xmlns:a14="http://schemas.microsoft.com/office/drawing/2010/main" val="0"/>
                        </a:ext>
                      </a:extLst>
                    </a:blip>
                    <a:stretch>
                      <a:fillRect/>
                    </a:stretch>
                  </pic:blipFill>
                  <pic:spPr>
                    <a:xfrm>
                      <a:off x="0" y="0"/>
                      <a:ext cx="2951599" cy="1789658"/>
                    </a:xfrm>
                    <a:prstGeom prst="rect">
                      <a:avLst/>
                    </a:prstGeom>
                  </pic:spPr>
                </pic:pic>
              </a:graphicData>
            </a:graphic>
          </wp:inline>
        </w:drawing>
      </w:r>
    </w:p>
    <w:p w:rsidR="00905151" w:rsidRPr="000E6FEB" w:rsidRDefault="00905151" w:rsidP="000E6FEB">
      <w:pPr>
        <w:rPr>
          <w:rFonts w:ascii="Times New Roman" w:eastAsia="Times New Roman" w:hAnsi="Times New Roman" w:cs="Times New Roman"/>
          <w:sz w:val="24"/>
          <w:szCs w:val="24"/>
          <w:lang w:val="en-US"/>
        </w:rPr>
      </w:pPr>
      <w:r>
        <w:rPr>
          <w:rFonts w:eastAsia="Times New Roman"/>
          <w:b/>
          <w:sz w:val="18"/>
          <w:szCs w:val="18"/>
          <w:lang w:val="en-US"/>
        </w:rPr>
        <w:t xml:space="preserve">            </w:t>
      </w:r>
      <w:r>
        <w:rPr>
          <w:rFonts w:eastAsia="Times New Roman"/>
          <w:b/>
          <w:sz w:val="18"/>
          <w:szCs w:val="18"/>
          <w:lang w:val="en-US"/>
        </w:rPr>
        <w:t>Figure 6.</w:t>
      </w:r>
      <w:r>
        <w:rPr>
          <w:rFonts w:eastAsia="Times New Roman"/>
          <w:b/>
          <w:sz w:val="18"/>
          <w:szCs w:val="18"/>
          <w:lang w:val="en-US"/>
        </w:rPr>
        <w:tab/>
      </w:r>
      <w:r>
        <w:rPr>
          <w:rFonts w:eastAsia="Times New Roman"/>
          <w:b/>
          <w:sz w:val="18"/>
          <w:szCs w:val="18"/>
          <w:lang w:val="en-US"/>
        </w:rPr>
        <w:tab/>
      </w:r>
      <w:r>
        <w:rPr>
          <w:rFonts w:eastAsia="Times New Roman"/>
          <w:b/>
          <w:sz w:val="18"/>
          <w:szCs w:val="18"/>
          <w:lang w:val="en-US"/>
        </w:rPr>
        <w:tab/>
      </w:r>
      <w:r>
        <w:rPr>
          <w:rFonts w:eastAsia="Times New Roman"/>
          <w:b/>
          <w:sz w:val="18"/>
          <w:szCs w:val="18"/>
          <w:lang w:val="en-US"/>
        </w:rPr>
        <w:tab/>
      </w:r>
      <w:r>
        <w:rPr>
          <w:rFonts w:eastAsia="Times New Roman"/>
          <w:b/>
          <w:sz w:val="18"/>
          <w:szCs w:val="18"/>
          <w:lang w:val="en-US"/>
        </w:rPr>
        <w:tab/>
        <w:t xml:space="preserve">   </w:t>
      </w:r>
      <w:r>
        <w:rPr>
          <w:rFonts w:eastAsia="Times New Roman"/>
          <w:b/>
          <w:sz w:val="18"/>
          <w:szCs w:val="18"/>
          <w:lang w:val="en-US"/>
        </w:rPr>
        <w:t xml:space="preserve">             </w:t>
      </w:r>
      <w:r>
        <w:rPr>
          <w:rFonts w:eastAsia="Times New Roman"/>
          <w:b/>
          <w:sz w:val="18"/>
          <w:szCs w:val="18"/>
          <w:lang w:val="en-US"/>
        </w:rPr>
        <w:t>Figure 7.</w:t>
      </w:r>
    </w:p>
    <w:p w:rsidR="000E6FEB" w:rsidRDefault="000E6FEB">
      <w:pPr>
        <w:rPr>
          <w:rFonts w:ascii="Times New Roman" w:eastAsia="Times New Roman" w:hAnsi="Times New Roman" w:cs="Times New Roman"/>
          <w:sz w:val="24"/>
          <w:szCs w:val="24"/>
          <w:lang w:val="en-US"/>
        </w:rPr>
      </w:pPr>
      <w:r w:rsidRPr="000E6FEB">
        <w:rPr>
          <w:rFonts w:ascii="Times New Roman" w:eastAsia="Times New Roman" w:hAnsi="Times New Roman" w:cs="Times New Roman"/>
          <w:sz w:val="24"/>
          <w:szCs w:val="24"/>
          <w:lang w:val="en-US"/>
        </w:rPr>
        <w:fldChar w:fldCharType="begin"/>
      </w:r>
      <w:r w:rsidRPr="000E6FEB">
        <w:rPr>
          <w:rFonts w:ascii="Times New Roman" w:eastAsia="Times New Roman" w:hAnsi="Times New Roman" w:cs="Times New Roman"/>
          <w:sz w:val="24"/>
          <w:szCs w:val="24"/>
          <w:lang w:val="en-US"/>
        </w:rPr>
        <w:instrText xml:space="preserve"> INCLUDEPICTURE "https://lh3.googleusercontent.com/9DJS4yTSA8SYxYb-qYokoSbpKSz9ePWI3us0EXQ2bCYEiAbHgVThTCTkm4OnxnANKT6-19YvifzphQnjU2JZQKjE25JeV26ct1jwNJ3ojcCGUPcjMppRvC0Fx5CS9hVcTSRjPT7r" \* MERGEFORMATINET </w:instrText>
      </w:r>
      <w:r w:rsidRPr="000E6FEB">
        <w:rPr>
          <w:rFonts w:ascii="Times New Roman" w:eastAsia="Times New Roman" w:hAnsi="Times New Roman" w:cs="Times New Roman"/>
          <w:sz w:val="24"/>
          <w:szCs w:val="24"/>
          <w:lang w:val="en-US"/>
        </w:rPr>
        <w:fldChar w:fldCharType="separate"/>
      </w:r>
      <w:r w:rsidRPr="000E6FEB">
        <w:rPr>
          <w:rFonts w:ascii="Times New Roman" w:eastAsia="Times New Roman" w:hAnsi="Times New Roman" w:cs="Times New Roman"/>
          <w:noProof/>
          <w:sz w:val="24"/>
          <w:szCs w:val="24"/>
          <w:lang w:val="en-US"/>
        </w:rPr>
        <w:drawing>
          <wp:inline distT="0" distB="0" distL="0" distR="0">
            <wp:extent cx="2795270" cy="1703601"/>
            <wp:effectExtent l="0" t="0" r="0" b="0"/>
            <wp:docPr id="15" name="Picture 15" descr="https://lh3.googleusercontent.com/9DJS4yTSA8SYxYb-qYokoSbpKSz9ePWI3us0EXQ2bCYEiAbHgVThTCTkm4OnxnANKT6-19YvifzphQnjU2JZQKjE25JeV26ct1jwNJ3ojcCGUPcjMppRvC0Fx5CS9hVcTSRjPT7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9DJS4yTSA8SYxYb-qYokoSbpKSz9ePWI3us0EXQ2bCYEiAbHgVThTCTkm4OnxnANKT6-19YvifzphQnjU2JZQKjE25JeV26ct1jwNJ3ojcCGUPcjMppRvC0Fx5CS9hVcTSRjPT7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4857" cy="1709444"/>
                    </a:xfrm>
                    <a:prstGeom prst="rect">
                      <a:avLst/>
                    </a:prstGeom>
                    <a:noFill/>
                    <a:ln>
                      <a:noFill/>
                    </a:ln>
                  </pic:spPr>
                </pic:pic>
              </a:graphicData>
            </a:graphic>
          </wp:inline>
        </w:drawing>
      </w:r>
      <w:r w:rsidRPr="000E6FEB">
        <w:rPr>
          <w:rFonts w:ascii="Times New Roman" w:eastAsia="Times New Roman" w:hAnsi="Times New Roman" w:cs="Times New Roman"/>
          <w:sz w:val="24"/>
          <w:szCs w:val="24"/>
          <w:lang w:val="en-US"/>
        </w:rPr>
        <w:fldChar w:fldCharType="end"/>
      </w:r>
      <w:r w:rsidRPr="000E6FEB">
        <w:t xml:space="preserve"> </w:t>
      </w:r>
      <w:r w:rsidRPr="000E6FEB">
        <w:rPr>
          <w:rFonts w:ascii="Times New Roman" w:eastAsia="Times New Roman" w:hAnsi="Times New Roman" w:cs="Times New Roman"/>
          <w:sz w:val="24"/>
          <w:szCs w:val="24"/>
          <w:lang w:val="en-US"/>
        </w:rPr>
        <w:fldChar w:fldCharType="begin"/>
      </w:r>
      <w:r w:rsidRPr="000E6FEB">
        <w:rPr>
          <w:rFonts w:ascii="Times New Roman" w:eastAsia="Times New Roman" w:hAnsi="Times New Roman" w:cs="Times New Roman"/>
          <w:sz w:val="24"/>
          <w:szCs w:val="24"/>
          <w:lang w:val="en-US"/>
        </w:rPr>
        <w:instrText xml:space="preserve"> INCLUDEPICTURE "https://lh3.googleusercontent.com/R9iH-WlGpopKmDGFimkZuj7kgUcDPgde0nuDc4KXEd57pn9BSf5UCiZdZb7ZNct1VQhZJ7qFiawvOdJbF3096bUcBNnKIkvphqZh4G597la-Z8AW4doC1donzl1nzlJFlAH-QSGr" \* MERGEFORMATINET </w:instrText>
      </w:r>
      <w:r w:rsidRPr="000E6FEB">
        <w:rPr>
          <w:rFonts w:ascii="Times New Roman" w:eastAsia="Times New Roman" w:hAnsi="Times New Roman" w:cs="Times New Roman"/>
          <w:sz w:val="24"/>
          <w:szCs w:val="24"/>
          <w:lang w:val="en-US"/>
        </w:rPr>
        <w:fldChar w:fldCharType="separate"/>
      </w:r>
      <w:r w:rsidRPr="000E6FEB">
        <w:rPr>
          <w:rFonts w:ascii="Times New Roman" w:eastAsia="Times New Roman" w:hAnsi="Times New Roman" w:cs="Times New Roman"/>
          <w:noProof/>
          <w:sz w:val="24"/>
          <w:szCs w:val="24"/>
          <w:lang w:val="en-US"/>
        </w:rPr>
        <w:drawing>
          <wp:inline distT="0" distB="0" distL="0" distR="0">
            <wp:extent cx="2953062" cy="1786818"/>
            <wp:effectExtent l="0" t="0" r="0" b="4445"/>
            <wp:docPr id="16" name="Picture 16" descr="https://lh3.googleusercontent.com/R9iH-WlGpopKmDGFimkZuj7kgUcDPgde0nuDc4KXEd57pn9BSf5UCiZdZb7ZNct1VQhZJ7qFiawvOdJbF3096bUcBNnKIkvphqZh4G597la-Z8AW4doC1donzl1nzlJFlAH-QS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R9iH-WlGpopKmDGFimkZuj7kgUcDPgde0nuDc4KXEd57pn9BSf5UCiZdZb7ZNct1VQhZJ7qFiawvOdJbF3096bUcBNnKIkvphqZh4G597la-Z8AW4doC1donzl1nzlJFlAH-QSG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5408" cy="1788237"/>
                    </a:xfrm>
                    <a:prstGeom prst="rect">
                      <a:avLst/>
                    </a:prstGeom>
                    <a:noFill/>
                    <a:ln>
                      <a:noFill/>
                    </a:ln>
                  </pic:spPr>
                </pic:pic>
              </a:graphicData>
            </a:graphic>
          </wp:inline>
        </w:drawing>
      </w:r>
      <w:r w:rsidRPr="000E6FEB">
        <w:rPr>
          <w:rFonts w:ascii="Times New Roman" w:eastAsia="Times New Roman" w:hAnsi="Times New Roman" w:cs="Times New Roman"/>
          <w:sz w:val="24"/>
          <w:szCs w:val="24"/>
          <w:lang w:val="en-US"/>
        </w:rPr>
        <w:fldChar w:fldCharType="end"/>
      </w:r>
    </w:p>
    <w:p w:rsidR="000E6FEB" w:rsidRDefault="000E6FEB">
      <w:pPr>
        <w:rPr>
          <w:b/>
          <w:color w:val="000000" w:themeColor="text1"/>
          <w:sz w:val="18"/>
          <w:szCs w:val="18"/>
        </w:rPr>
      </w:pPr>
    </w:p>
    <w:p w:rsidR="00EE2F1E" w:rsidRPr="00FF6063" w:rsidRDefault="00EE2F1E">
      <w:pPr>
        <w:rPr>
          <w:rFonts w:ascii="Times New Roman" w:eastAsia="Times New Roman" w:hAnsi="Times New Roman" w:cs="Times New Roman"/>
          <w:color w:val="000000" w:themeColor="text1"/>
          <w:sz w:val="24"/>
          <w:szCs w:val="24"/>
        </w:rPr>
      </w:pPr>
    </w:p>
    <w:sectPr w:rsidR="00EE2F1E" w:rsidRPr="00FF6063">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42B" w:rsidRDefault="00EA742B">
      <w:pPr>
        <w:spacing w:line="240" w:lineRule="auto"/>
      </w:pPr>
      <w:r>
        <w:separator/>
      </w:r>
    </w:p>
  </w:endnote>
  <w:endnote w:type="continuationSeparator" w:id="0">
    <w:p w:rsidR="00EA742B" w:rsidRDefault="00EA7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altName w:val="Arial"/>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F1E" w:rsidRDefault="00EE2F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42B" w:rsidRDefault="00EA742B">
      <w:pPr>
        <w:spacing w:line="240" w:lineRule="auto"/>
      </w:pPr>
      <w:r>
        <w:separator/>
      </w:r>
    </w:p>
  </w:footnote>
  <w:footnote w:type="continuationSeparator" w:id="0">
    <w:p w:rsidR="00EA742B" w:rsidRDefault="00EA7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1E"/>
    <w:rsid w:val="00002ABC"/>
    <w:rsid w:val="000112A6"/>
    <w:rsid w:val="00023E5F"/>
    <w:rsid w:val="00032973"/>
    <w:rsid w:val="0003505C"/>
    <w:rsid w:val="00037AED"/>
    <w:rsid w:val="0006237F"/>
    <w:rsid w:val="00090E25"/>
    <w:rsid w:val="000B516D"/>
    <w:rsid w:val="000B535D"/>
    <w:rsid w:val="000D1BD0"/>
    <w:rsid w:val="000D3C7D"/>
    <w:rsid w:val="000E6FEB"/>
    <w:rsid w:val="00153B17"/>
    <w:rsid w:val="001A0662"/>
    <w:rsid w:val="001B3B08"/>
    <w:rsid w:val="001D7688"/>
    <w:rsid w:val="001E01CD"/>
    <w:rsid w:val="001F56A8"/>
    <w:rsid w:val="002135BC"/>
    <w:rsid w:val="002172D3"/>
    <w:rsid w:val="002353B0"/>
    <w:rsid w:val="00235F7B"/>
    <w:rsid w:val="00242046"/>
    <w:rsid w:val="00252353"/>
    <w:rsid w:val="00280FF6"/>
    <w:rsid w:val="002813DF"/>
    <w:rsid w:val="002A2F74"/>
    <w:rsid w:val="002C5697"/>
    <w:rsid w:val="00334AB6"/>
    <w:rsid w:val="003416EA"/>
    <w:rsid w:val="00383055"/>
    <w:rsid w:val="00396F7B"/>
    <w:rsid w:val="003B08E8"/>
    <w:rsid w:val="003B39CC"/>
    <w:rsid w:val="003B44A4"/>
    <w:rsid w:val="003D1306"/>
    <w:rsid w:val="003E470A"/>
    <w:rsid w:val="00447837"/>
    <w:rsid w:val="004524D5"/>
    <w:rsid w:val="00461A2C"/>
    <w:rsid w:val="004837DD"/>
    <w:rsid w:val="004A40E5"/>
    <w:rsid w:val="00555EA3"/>
    <w:rsid w:val="00573083"/>
    <w:rsid w:val="005A5640"/>
    <w:rsid w:val="005A6215"/>
    <w:rsid w:val="005C1E44"/>
    <w:rsid w:val="005F5F78"/>
    <w:rsid w:val="005F787E"/>
    <w:rsid w:val="00691F7A"/>
    <w:rsid w:val="006E2341"/>
    <w:rsid w:val="006E6ECD"/>
    <w:rsid w:val="00735C45"/>
    <w:rsid w:val="00795ACB"/>
    <w:rsid w:val="007B4D02"/>
    <w:rsid w:val="007E0E53"/>
    <w:rsid w:val="007E3EF5"/>
    <w:rsid w:val="00807649"/>
    <w:rsid w:val="00840E2A"/>
    <w:rsid w:val="0084344A"/>
    <w:rsid w:val="008436A5"/>
    <w:rsid w:val="00851480"/>
    <w:rsid w:val="008744BE"/>
    <w:rsid w:val="008E4CE6"/>
    <w:rsid w:val="008F0506"/>
    <w:rsid w:val="008F4DB5"/>
    <w:rsid w:val="00905151"/>
    <w:rsid w:val="00976688"/>
    <w:rsid w:val="009A2656"/>
    <w:rsid w:val="009A2A2E"/>
    <w:rsid w:val="009D5159"/>
    <w:rsid w:val="009D6020"/>
    <w:rsid w:val="009D71E4"/>
    <w:rsid w:val="009D7E35"/>
    <w:rsid w:val="009F4027"/>
    <w:rsid w:val="00A23911"/>
    <w:rsid w:val="00A45C2C"/>
    <w:rsid w:val="00AA1F3D"/>
    <w:rsid w:val="00AA5477"/>
    <w:rsid w:val="00AD5D63"/>
    <w:rsid w:val="00AD6705"/>
    <w:rsid w:val="00AE45E2"/>
    <w:rsid w:val="00B10FB7"/>
    <w:rsid w:val="00B12E28"/>
    <w:rsid w:val="00B511AD"/>
    <w:rsid w:val="00B5611B"/>
    <w:rsid w:val="00B64E0C"/>
    <w:rsid w:val="00B75357"/>
    <w:rsid w:val="00C26355"/>
    <w:rsid w:val="00C45D19"/>
    <w:rsid w:val="00C57B08"/>
    <w:rsid w:val="00C63580"/>
    <w:rsid w:val="00C73A93"/>
    <w:rsid w:val="00C84167"/>
    <w:rsid w:val="00C96A17"/>
    <w:rsid w:val="00CA3A90"/>
    <w:rsid w:val="00CD185B"/>
    <w:rsid w:val="00D10AA4"/>
    <w:rsid w:val="00D1606B"/>
    <w:rsid w:val="00D16E97"/>
    <w:rsid w:val="00D50763"/>
    <w:rsid w:val="00D518F7"/>
    <w:rsid w:val="00D873F9"/>
    <w:rsid w:val="00D9104E"/>
    <w:rsid w:val="00DA2FDB"/>
    <w:rsid w:val="00DE2DDA"/>
    <w:rsid w:val="00DF4DBD"/>
    <w:rsid w:val="00E07F94"/>
    <w:rsid w:val="00E231D3"/>
    <w:rsid w:val="00E33C42"/>
    <w:rsid w:val="00E34C56"/>
    <w:rsid w:val="00E5306D"/>
    <w:rsid w:val="00E5601A"/>
    <w:rsid w:val="00E85F5A"/>
    <w:rsid w:val="00EA1696"/>
    <w:rsid w:val="00EA742B"/>
    <w:rsid w:val="00EB4A23"/>
    <w:rsid w:val="00EB5E8B"/>
    <w:rsid w:val="00ED422F"/>
    <w:rsid w:val="00EE2F1E"/>
    <w:rsid w:val="00EE4680"/>
    <w:rsid w:val="00F00987"/>
    <w:rsid w:val="00F12E69"/>
    <w:rsid w:val="00F25F26"/>
    <w:rsid w:val="00F45BA4"/>
    <w:rsid w:val="00F460BE"/>
    <w:rsid w:val="00F51903"/>
    <w:rsid w:val="00F57A72"/>
    <w:rsid w:val="00FE44EF"/>
    <w:rsid w:val="00FE4527"/>
    <w:rsid w:val="00FF2AF0"/>
    <w:rsid w:val="00FF6063"/>
    <w:rsid w:val="00FF6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BED0"/>
  <w15:docId w15:val="{4515A3DC-DF45-9849-AE44-DA657088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37A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AED"/>
    <w:rPr>
      <w:rFonts w:ascii="Tahoma" w:hAnsi="Tahoma" w:cs="Tahoma"/>
      <w:sz w:val="16"/>
      <w:szCs w:val="16"/>
    </w:rPr>
  </w:style>
  <w:style w:type="paragraph" w:styleId="Revision">
    <w:name w:val="Revision"/>
    <w:hidden/>
    <w:uiPriority w:val="99"/>
    <w:semiHidden/>
    <w:rsid w:val="0025235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9916">
      <w:bodyDiv w:val="1"/>
      <w:marLeft w:val="0"/>
      <w:marRight w:val="0"/>
      <w:marTop w:val="0"/>
      <w:marBottom w:val="0"/>
      <w:divBdr>
        <w:top w:val="none" w:sz="0" w:space="0" w:color="auto"/>
        <w:left w:val="none" w:sz="0" w:space="0" w:color="auto"/>
        <w:bottom w:val="none" w:sz="0" w:space="0" w:color="auto"/>
        <w:right w:val="none" w:sz="0" w:space="0" w:color="auto"/>
      </w:divBdr>
    </w:div>
    <w:div w:id="240142187">
      <w:bodyDiv w:val="1"/>
      <w:marLeft w:val="0"/>
      <w:marRight w:val="0"/>
      <w:marTop w:val="0"/>
      <w:marBottom w:val="0"/>
      <w:divBdr>
        <w:top w:val="none" w:sz="0" w:space="0" w:color="auto"/>
        <w:left w:val="none" w:sz="0" w:space="0" w:color="auto"/>
        <w:bottom w:val="none" w:sz="0" w:space="0" w:color="auto"/>
        <w:right w:val="none" w:sz="0" w:space="0" w:color="auto"/>
      </w:divBdr>
    </w:div>
    <w:div w:id="361132015">
      <w:bodyDiv w:val="1"/>
      <w:marLeft w:val="0"/>
      <w:marRight w:val="0"/>
      <w:marTop w:val="0"/>
      <w:marBottom w:val="0"/>
      <w:divBdr>
        <w:top w:val="none" w:sz="0" w:space="0" w:color="auto"/>
        <w:left w:val="none" w:sz="0" w:space="0" w:color="auto"/>
        <w:bottom w:val="none" w:sz="0" w:space="0" w:color="auto"/>
        <w:right w:val="none" w:sz="0" w:space="0" w:color="auto"/>
      </w:divBdr>
    </w:div>
    <w:div w:id="423457789">
      <w:bodyDiv w:val="1"/>
      <w:marLeft w:val="0"/>
      <w:marRight w:val="0"/>
      <w:marTop w:val="0"/>
      <w:marBottom w:val="0"/>
      <w:divBdr>
        <w:top w:val="none" w:sz="0" w:space="0" w:color="auto"/>
        <w:left w:val="none" w:sz="0" w:space="0" w:color="auto"/>
        <w:bottom w:val="none" w:sz="0" w:space="0" w:color="auto"/>
        <w:right w:val="none" w:sz="0" w:space="0" w:color="auto"/>
      </w:divBdr>
    </w:div>
    <w:div w:id="530385067">
      <w:bodyDiv w:val="1"/>
      <w:marLeft w:val="0"/>
      <w:marRight w:val="0"/>
      <w:marTop w:val="0"/>
      <w:marBottom w:val="0"/>
      <w:divBdr>
        <w:top w:val="none" w:sz="0" w:space="0" w:color="auto"/>
        <w:left w:val="none" w:sz="0" w:space="0" w:color="auto"/>
        <w:bottom w:val="none" w:sz="0" w:space="0" w:color="auto"/>
        <w:right w:val="none" w:sz="0" w:space="0" w:color="auto"/>
      </w:divBdr>
    </w:div>
    <w:div w:id="1061445671">
      <w:bodyDiv w:val="1"/>
      <w:marLeft w:val="0"/>
      <w:marRight w:val="0"/>
      <w:marTop w:val="0"/>
      <w:marBottom w:val="0"/>
      <w:divBdr>
        <w:top w:val="none" w:sz="0" w:space="0" w:color="auto"/>
        <w:left w:val="none" w:sz="0" w:space="0" w:color="auto"/>
        <w:bottom w:val="none" w:sz="0" w:space="0" w:color="auto"/>
        <w:right w:val="none" w:sz="0" w:space="0" w:color="auto"/>
      </w:divBdr>
    </w:div>
    <w:div w:id="1090199201">
      <w:bodyDiv w:val="1"/>
      <w:marLeft w:val="0"/>
      <w:marRight w:val="0"/>
      <w:marTop w:val="0"/>
      <w:marBottom w:val="0"/>
      <w:divBdr>
        <w:top w:val="none" w:sz="0" w:space="0" w:color="auto"/>
        <w:left w:val="none" w:sz="0" w:space="0" w:color="auto"/>
        <w:bottom w:val="none" w:sz="0" w:space="0" w:color="auto"/>
        <w:right w:val="none" w:sz="0" w:space="0" w:color="auto"/>
      </w:divBdr>
    </w:div>
    <w:div w:id="1343244198">
      <w:bodyDiv w:val="1"/>
      <w:marLeft w:val="0"/>
      <w:marRight w:val="0"/>
      <w:marTop w:val="0"/>
      <w:marBottom w:val="0"/>
      <w:divBdr>
        <w:top w:val="none" w:sz="0" w:space="0" w:color="auto"/>
        <w:left w:val="none" w:sz="0" w:space="0" w:color="auto"/>
        <w:bottom w:val="none" w:sz="0" w:space="0" w:color="auto"/>
        <w:right w:val="none" w:sz="0" w:space="0" w:color="auto"/>
      </w:divBdr>
    </w:div>
    <w:div w:id="1471554787">
      <w:bodyDiv w:val="1"/>
      <w:marLeft w:val="0"/>
      <w:marRight w:val="0"/>
      <w:marTop w:val="0"/>
      <w:marBottom w:val="0"/>
      <w:divBdr>
        <w:top w:val="none" w:sz="0" w:space="0" w:color="auto"/>
        <w:left w:val="none" w:sz="0" w:space="0" w:color="auto"/>
        <w:bottom w:val="none" w:sz="0" w:space="0" w:color="auto"/>
        <w:right w:val="none" w:sz="0" w:space="0" w:color="auto"/>
      </w:divBdr>
    </w:div>
    <w:div w:id="1501626520">
      <w:bodyDiv w:val="1"/>
      <w:marLeft w:val="0"/>
      <w:marRight w:val="0"/>
      <w:marTop w:val="0"/>
      <w:marBottom w:val="0"/>
      <w:divBdr>
        <w:top w:val="none" w:sz="0" w:space="0" w:color="auto"/>
        <w:left w:val="none" w:sz="0" w:space="0" w:color="auto"/>
        <w:bottom w:val="none" w:sz="0" w:space="0" w:color="auto"/>
        <w:right w:val="none" w:sz="0" w:space="0" w:color="auto"/>
      </w:divBdr>
    </w:div>
    <w:div w:id="1667712155">
      <w:bodyDiv w:val="1"/>
      <w:marLeft w:val="0"/>
      <w:marRight w:val="0"/>
      <w:marTop w:val="0"/>
      <w:marBottom w:val="0"/>
      <w:divBdr>
        <w:top w:val="none" w:sz="0" w:space="0" w:color="auto"/>
        <w:left w:val="none" w:sz="0" w:space="0" w:color="auto"/>
        <w:bottom w:val="none" w:sz="0" w:space="0" w:color="auto"/>
        <w:right w:val="none" w:sz="0" w:space="0" w:color="auto"/>
      </w:divBdr>
    </w:div>
    <w:div w:id="2007203552">
      <w:bodyDiv w:val="1"/>
      <w:marLeft w:val="0"/>
      <w:marRight w:val="0"/>
      <w:marTop w:val="0"/>
      <w:marBottom w:val="0"/>
      <w:divBdr>
        <w:top w:val="none" w:sz="0" w:space="0" w:color="auto"/>
        <w:left w:val="none" w:sz="0" w:space="0" w:color="auto"/>
        <w:bottom w:val="none" w:sz="0" w:space="0" w:color="auto"/>
        <w:right w:val="none" w:sz="0" w:space="0" w:color="auto"/>
      </w:divBdr>
    </w:div>
    <w:div w:id="2077436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pps.who.int/gho/data/view.main.MHSUICIDEv?lang=en"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ourworldindata.org/substance-us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dc.gov/mmwr/volumes/67/wr/mm6722a1.htm?s_cid=mm6722a1_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ata.worldbank.org/indicator/SP.POP.TOTL"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ata.worldbank.org/indicator/SH.ALC.PCAP.LI?end=2016&amp;start=2016&amp;view=cha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5748-A767-BC4F-A2C4-9C78CBA5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jddoug</dc:creator>
  <cp:lastModifiedBy>Michael Miller</cp:lastModifiedBy>
  <cp:revision>2</cp:revision>
  <dcterms:created xsi:type="dcterms:W3CDTF">2018-12-22T00:18:00Z</dcterms:created>
  <dcterms:modified xsi:type="dcterms:W3CDTF">2018-12-22T00:18:00Z</dcterms:modified>
</cp:coreProperties>
</file>