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EBFC" w14:textId="77777777" w:rsidR="00504253" w:rsidRPr="00530468" w:rsidRDefault="00530468" w:rsidP="00504253">
      <w:pPr>
        <w:rPr>
          <w:b/>
          <w:i/>
          <w:sz w:val="28"/>
          <w:szCs w:val="28"/>
        </w:rPr>
      </w:pPr>
      <w:r>
        <w:rPr>
          <w:b/>
          <w:i/>
          <w:sz w:val="28"/>
          <w:szCs w:val="28"/>
        </w:rPr>
        <w:t>Investigating genetic profiles of fatty acids and cardiometabolic traits</w:t>
      </w:r>
    </w:p>
    <w:p w14:paraId="1E2A0109" w14:textId="77777777" w:rsidR="00C7166B" w:rsidRPr="00530468" w:rsidRDefault="00C7166B" w:rsidP="00504253">
      <w:pPr>
        <w:rPr>
          <w:b/>
          <w:i/>
          <w:sz w:val="28"/>
          <w:szCs w:val="28"/>
        </w:rPr>
      </w:pPr>
      <w:r w:rsidRPr="00530468">
        <w:rPr>
          <w:b/>
          <w:i/>
          <w:sz w:val="28"/>
          <w:szCs w:val="28"/>
        </w:rPr>
        <w:br/>
        <w:t>Learning goals:</w:t>
      </w:r>
      <w:r w:rsidR="00530468">
        <w:rPr>
          <w:b/>
          <w:i/>
          <w:sz w:val="28"/>
          <w:szCs w:val="28"/>
        </w:rPr>
        <w:br/>
      </w:r>
    </w:p>
    <w:p w14:paraId="4C767715" w14:textId="77777777" w:rsidR="00C7166B" w:rsidRPr="00296615" w:rsidRDefault="00530468" w:rsidP="00C7166B">
      <w:pPr>
        <w:pStyle w:val="ListParagraph"/>
        <w:numPr>
          <w:ilvl w:val="0"/>
          <w:numId w:val="3"/>
        </w:numPr>
        <w:rPr>
          <w:rFonts w:ascii="Arial" w:hAnsi="Arial" w:cs="Arial"/>
          <w:sz w:val="24"/>
          <w:szCs w:val="24"/>
        </w:rPr>
      </w:pPr>
      <w:r w:rsidRPr="00296615">
        <w:rPr>
          <w:rFonts w:ascii="Arial" w:hAnsi="Arial" w:cs="Arial"/>
          <w:sz w:val="24"/>
          <w:szCs w:val="24"/>
        </w:rPr>
        <w:t>Contrasting linear and non-linear genetic models and connecting to disease modes of inheritance</w:t>
      </w:r>
    </w:p>
    <w:p w14:paraId="77C33F09" w14:textId="77777777" w:rsidR="00296615" w:rsidRPr="00296615" w:rsidRDefault="00296615" w:rsidP="00296615"/>
    <w:p w14:paraId="18563761" w14:textId="77777777" w:rsidR="00296615" w:rsidRPr="00296615" w:rsidRDefault="00296615" w:rsidP="00296615">
      <w:pPr>
        <w:rPr>
          <w:b/>
          <w:i/>
        </w:rPr>
      </w:pPr>
      <w:r w:rsidRPr="00296615">
        <w:rPr>
          <w:b/>
          <w:i/>
        </w:rPr>
        <w:t>Assumes</w:t>
      </w:r>
    </w:p>
    <w:p w14:paraId="3E974880" w14:textId="77777777" w:rsidR="00296615" w:rsidRPr="00296615" w:rsidRDefault="00296615" w:rsidP="000A4D50">
      <w:pPr>
        <w:pStyle w:val="ListParagraph"/>
        <w:numPr>
          <w:ilvl w:val="0"/>
          <w:numId w:val="3"/>
        </w:numPr>
        <w:rPr>
          <w:rFonts w:ascii="Arial" w:hAnsi="Arial" w:cs="Arial"/>
          <w:sz w:val="24"/>
          <w:szCs w:val="24"/>
        </w:rPr>
      </w:pPr>
      <w:r w:rsidRPr="00296615">
        <w:rPr>
          <w:rFonts w:ascii="Arial" w:hAnsi="Arial" w:cs="Arial"/>
        </w:rPr>
        <w:t xml:space="preserve">Basic understanding of ANOVA </w:t>
      </w:r>
    </w:p>
    <w:p w14:paraId="4CC51C2F" w14:textId="77777777" w:rsidR="00177D94" w:rsidRPr="00530468" w:rsidRDefault="00177D94" w:rsidP="00504253">
      <w:pPr>
        <w:rPr>
          <w:b/>
        </w:rPr>
      </w:pPr>
    </w:p>
    <w:p w14:paraId="40D70E11" w14:textId="77777777" w:rsidR="00177D94" w:rsidRPr="00530468" w:rsidRDefault="00177D94" w:rsidP="00177D94">
      <w:pPr>
        <w:rPr>
          <w:b/>
        </w:rPr>
      </w:pPr>
      <w:r w:rsidRPr="00530468">
        <w:rPr>
          <w:b/>
        </w:rPr>
        <w:t>STEP 1:</w:t>
      </w:r>
      <w:r w:rsidRPr="00530468">
        <w:t xml:space="preserve"> </w:t>
      </w:r>
      <w:r w:rsidRPr="00530468">
        <w:rPr>
          <w:b/>
        </w:rPr>
        <w:t>Ask a research question.</w:t>
      </w:r>
    </w:p>
    <w:p w14:paraId="15437799" w14:textId="77777777" w:rsidR="00C10B11" w:rsidRPr="00530468" w:rsidRDefault="00C10B11" w:rsidP="00177D94">
      <w:pPr>
        <w:rPr>
          <w:b/>
        </w:rPr>
      </w:pPr>
    </w:p>
    <w:p w14:paraId="584FDEC1" w14:textId="77777777" w:rsidR="000B6492" w:rsidRPr="00530468" w:rsidRDefault="000B6492" w:rsidP="000B6492">
      <w:r w:rsidRPr="00530468">
        <w:t xml:space="preserve">More and more evidence exists that circulating fatty acids (in the blood) are associated with cardiovascular and brain health. Some fatty acids are obtained through diet while others are synthesized by the body from dietary fatty acids and other sources. Understanding dietary, genetic and other factors that explain variation in fatty acid levels is a current research question of interest. </w:t>
      </w:r>
    </w:p>
    <w:p w14:paraId="0B217878" w14:textId="77777777" w:rsidR="000B6492" w:rsidRPr="00530468" w:rsidRDefault="000B6492" w:rsidP="000B6492"/>
    <w:p w14:paraId="1E174BB8" w14:textId="77777777" w:rsidR="000B6492" w:rsidRDefault="000B6492" w:rsidP="000B6492">
      <w:r w:rsidRPr="00530468">
        <w:t>One gene that has</w:t>
      </w:r>
      <w:r w:rsidRPr="000B6492">
        <w:t xml:space="preserve"> been recently </w:t>
      </w:r>
      <w:r>
        <w:t>identified</w:t>
      </w:r>
      <w:r w:rsidRPr="000B6492">
        <w:t xml:space="preserve"> in fatty acid metabolism is FADS1 (fatty acid desaturase 1, on chromosome 11). </w:t>
      </w:r>
      <w:r>
        <w:t>Some people have a particular genetic variant in the FADS1 gene, having cytosine (C) instead of thymine (T)</w:t>
      </w:r>
      <w:r w:rsidR="00296615">
        <w:t xml:space="preserve"> (at polymorphism rs174547)</w:t>
      </w:r>
      <w:r>
        <w:t xml:space="preserve">. This genetic variant may be inherited from either your mother or your father, both parents, or not at all. Thus, we can summarize this genetic variant as having either 0 (neither mother nor father), 1 (from the mother or father) or 2 copies (from both mother and father) of cytosine (C). </w:t>
      </w:r>
    </w:p>
    <w:p w14:paraId="7EC08730" w14:textId="77777777" w:rsidR="000B6492" w:rsidRDefault="000B6492" w:rsidP="000B6492"/>
    <w:p w14:paraId="3B0F493A" w14:textId="77777777" w:rsidR="000B6492" w:rsidRPr="000B6492" w:rsidRDefault="00504F40" w:rsidP="000B6492">
      <w:r>
        <w:t>R</w:t>
      </w:r>
      <w:r w:rsidR="000B6492" w:rsidRPr="000B6492">
        <w:t xml:space="preserve">esearchers want to know: </w:t>
      </w:r>
      <w:r>
        <w:t>Is</w:t>
      </w:r>
      <w:r w:rsidR="000B6492" w:rsidRPr="000B6492">
        <w:t xml:space="preserve"> </w:t>
      </w:r>
      <w:r>
        <w:t xml:space="preserve">this </w:t>
      </w:r>
      <w:r w:rsidR="000B6492" w:rsidRPr="000B6492">
        <w:t xml:space="preserve">genetic variation in FADS1 </w:t>
      </w:r>
      <w:r>
        <w:t xml:space="preserve">associated with the </w:t>
      </w:r>
      <w:r w:rsidRPr="000B6492">
        <w:t>Arachidonic Acid to di-homo-gamma-linolenic</w:t>
      </w:r>
      <w:r w:rsidR="000B6492" w:rsidRPr="000B6492">
        <w:t xml:space="preserve"> </w:t>
      </w:r>
      <w:r>
        <w:t>fatty acid ratio in the blood</w:t>
      </w:r>
      <w:r w:rsidR="000B6492" w:rsidRPr="000B6492">
        <w:t>?</w:t>
      </w:r>
    </w:p>
    <w:p w14:paraId="54791B99" w14:textId="77777777" w:rsidR="000B6492" w:rsidRPr="000B6492" w:rsidRDefault="000B6492" w:rsidP="000B6492"/>
    <w:p w14:paraId="45249B24" w14:textId="77777777" w:rsidR="00177D94" w:rsidRDefault="00177D94">
      <w:pPr>
        <w:rPr>
          <w:b/>
        </w:rPr>
      </w:pPr>
      <w:r>
        <w:rPr>
          <w:b/>
        </w:rPr>
        <w:t>STEP 2: Design a study and collect data.</w:t>
      </w:r>
    </w:p>
    <w:p w14:paraId="286096C3" w14:textId="77777777" w:rsidR="00177D94" w:rsidRDefault="00177D94">
      <w:pPr>
        <w:rPr>
          <w:b/>
        </w:rPr>
      </w:pPr>
    </w:p>
    <w:p w14:paraId="1C8472C9" w14:textId="77777777" w:rsidR="000B6492" w:rsidRPr="000B6492" w:rsidRDefault="000B6492" w:rsidP="000B6492">
      <w:r w:rsidRPr="000B6492">
        <w:t xml:space="preserve">The Framingham Heart Study is a well-known study of cardiovascular health. In a sample of </w:t>
      </w:r>
      <w:r w:rsidR="00504F40">
        <w:t>2,645</w:t>
      </w:r>
      <w:r w:rsidRPr="000B6492">
        <w:t xml:space="preserve"> individuals from the Framingham Heart Study we have measured genetic variations of the FADS1 gene, as well as the Arachidonic Acid to di-homo-gamma-linolenic (AA </w:t>
      </w:r>
      <w:proofErr w:type="gramStart"/>
      <w:r w:rsidRPr="000B6492">
        <w:t>%:</w:t>
      </w:r>
      <w:proofErr w:type="spellStart"/>
      <w:r w:rsidRPr="000B6492">
        <w:t>dgLA</w:t>
      </w:r>
      <w:proofErr w:type="spellEnd"/>
      <w:proofErr w:type="gramEnd"/>
      <w:r w:rsidRPr="000B6492">
        <w:t xml:space="preserve"> %) fatty acid ratio. </w:t>
      </w:r>
      <w:r w:rsidR="004356EA">
        <w:t>Lower values of this ratio of fatty acids are better</w:t>
      </w:r>
      <w:r w:rsidR="00504253">
        <w:t xml:space="preserve"> as lower values indicate greater synthesis of the fatty acids by the body</w:t>
      </w:r>
      <w:r w:rsidR="004356EA">
        <w:t>.</w:t>
      </w:r>
    </w:p>
    <w:p w14:paraId="2034487C" w14:textId="77777777" w:rsidR="00517647" w:rsidRDefault="00517647"/>
    <w:p w14:paraId="10CD911F" w14:textId="77777777" w:rsidR="008B150E" w:rsidRDefault="008B150E">
      <w:pPr>
        <w:rPr>
          <w:b/>
        </w:rPr>
      </w:pPr>
      <w:r>
        <w:rPr>
          <w:b/>
        </w:rPr>
        <w:t>STEP 3: Explore the data.</w:t>
      </w:r>
    </w:p>
    <w:p w14:paraId="3944FE18" w14:textId="77777777" w:rsidR="00177D94" w:rsidRDefault="00177D94">
      <w:pPr>
        <w:rPr>
          <w:b/>
        </w:rPr>
      </w:pPr>
    </w:p>
    <w:p w14:paraId="26D4C286" w14:textId="77777777" w:rsidR="00C7166B" w:rsidRDefault="00C7166B">
      <w:r w:rsidRPr="00C7166B">
        <w:t xml:space="preserve">We used the </w:t>
      </w:r>
      <w:r w:rsidRPr="00C7166B">
        <w:rPr>
          <w:b/>
          <w:i/>
        </w:rPr>
        <w:t>Multiple Means applet</w:t>
      </w:r>
      <w:r w:rsidRPr="00C7166B">
        <w:t xml:space="preserve"> (available at </w:t>
      </w:r>
      <w:hyperlink r:id="rId5" w:history="1">
        <w:r w:rsidRPr="00C7166B">
          <w:rPr>
            <w:rStyle w:val="Hyperlink"/>
          </w:rPr>
          <w:t>www.isi-stats.com</w:t>
        </w:r>
      </w:hyperlink>
      <w:r w:rsidRPr="00C7166B">
        <w:t xml:space="preserve">) to investigate the relationship between </w:t>
      </w:r>
      <w:r>
        <w:t xml:space="preserve">the number of copies of the genetic variant (0, 1 or 2) with the AA to </w:t>
      </w:r>
      <w:proofErr w:type="spellStart"/>
      <w:r>
        <w:t>dgLA</w:t>
      </w:r>
      <w:proofErr w:type="spellEnd"/>
      <w:r>
        <w:t xml:space="preserve"> ratio. </w:t>
      </w:r>
    </w:p>
    <w:p w14:paraId="4B37666C" w14:textId="77777777" w:rsidR="00C7166B" w:rsidRDefault="00C7166B"/>
    <w:p w14:paraId="27610B9C" w14:textId="77777777" w:rsidR="00C7166B" w:rsidRDefault="00C7166B"/>
    <w:p w14:paraId="5107395C" w14:textId="77777777" w:rsidR="00296615" w:rsidRDefault="00296615"/>
    <w:p w14:paraId="1D306886" w14:textId="77777777" w:rsidR="00C7166B" w:rsidRPr="00C7166B" w:rsidRDefault="00C7166B">
      <w:pPr>
        <w:rPr>
          <w:b/>
        </w:rPr>
      </w:pPr>
      <w:r w:rsidRPr="00C7166B">
        <w:rPr>
          <w:b/>
        </w:rPr>
        <w:lastRenderedPageBreak/>
        <w:t xml:space="preserve">Figure 1. Distribution of the ratio </w:t>
      </w:r>
      <w:proofErr w:type="spellStart"/>
      <w:r w:rsidRPr="00C7166B">
        <w:rPr>
          <w:b/>
        </w:rPr>
        <w:t>AA:dgLA</w:t>
      </w:r>
      <w:proofErr w:type="spellEnd"/>
      <w:r w:rsidRPr="00C7166B">
        <w:rPr>
          <w:b/>
        </w:rPr>
        <w:t xml:space="preserve"> by number of variants</w:t>
      </w:r>
    </w:p>
    <w:p w14:paraId="652697F2" w14:textId="77777777" w:rsidR="00530468" w:rsidRDefault="00C7166B">
      <w:pPr>
        <w:rPr>
          <w:rFonts w:ascii="Calibri" w:hAnsi="Calibri"/>
          <w:color w:val="538135" w:themeColor="accent6" w:themeShade="BF"/>
        </w:rPr>
      </w:pPr>
      <w:r>
        <w:rPr>
          <w:rFonts w:ascii="Calibri" w:hAnsi="Calibri"/>
          <w:noProof/>
          <w:color w:val="538135" w:themeColor="accent6" w:themeShade="BF"/>
        </w:rPr>
        <w:drawing>
          <wp:inline distT="0" distB="0" distL="0" distR="0" wp14:anchorId="09965A4D" wp14:editId="6812FA16">
            <wp:extent cx="3267710" cy="42697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710" cy="4269740"/>
                    </a:xfrm>
                    <a:prstGeom prst="rect">
                      <a:avLst/>
                    </a:prstGeom>
                    <a:noFill/>
                    <a:ln>
                      <a:noFill/>
                    </a:ln>
                  </pic:spPr>
                </pic:pic>
              </a:graphicData>
            </a:graphic>
          </wp:inline>
        </w:drawing>
      </w:r>
    </w:p>
    <w:p w14:paraId="14A012C2" w14:textId="77777777" w:rsidR="00530468" w:rsidRPr="00296615" w:rsidRDefault="00530468"/>
    <w:p w14:paraId="5BFC48E8" w14:textId="77777777" w:rsidR="00530468" w:rsidRPr="00296615" w:rsidRDefault="00530468">
      <w:r w:rsidRPr="00296615">
        <w:t xml:space="preserve">As we see in Figure 1, there is a strong relationship between the number of variants </w:t>
      </w:r>
      <w:r w:rsidR="00296615">
        <w:t xml:space="preserve">(0,1 or 2) and the </w:t>
      </w:r>
      <w:proofErr w:type="spellStart"/>
      <w:r w:rsidR="00296615">
        <w:t>AA:dgLA</w:t>
      </w:r>
      <w:proofErr w:type="spellEnd"/>
      <w:r w:rsidR="00296615">
        <w:t xml:space="preserve"> ratio, as well as a few extreme outliers (values of the </w:t>
      </w:r>
      <w:proofErr w:type="spellStart"/>
      <w:r w:rsidR="00296615">
        <w:t>AA:dgLA</w:t>
      </w:r>
      <w:proofErr w:type="spellEnd"/>
      <w:r w:rsidR="00296615">
        <w:t xml:space="preserve"> ratio above 25). </w:t>
      </w:r>
    </w:p>
    <w:p w14:paraId="7885E177" w14:textId="77777777" w:rsidR="00296615" w:rsidRPr="00296615" w:rsidRDefault="00296615"/>
    <w:tbl>
      <w:tblPr>
        <w:tblStyle w:val="TableGrid"/>
        <w:tblW w:w="0" w:type="auto"/>
        <w:tblLook w:val="04A0" w:firstRow="1" w:lastRow="0" w:firstColumn="1" w:lastColumn="0" w:noHBand="0" w:noVBand="1"/>
      </w:tblPr>
      <w:tblGrid>
        <w:gridCol w:w="10070"/>
      </w:tblGrid>
      <w:tr w:rsidR="00296615" w:rsidRPr="00296615" w14:paraId="60A7F861" w14:textId="77777777" w:rsidTr="00296615">
        <w:tc>
          <w:tcPr>
            <w:tcW w:w="10070" w:type="dxa"/>
          </w:tcPr>
          <w:p w14:paraId="432795BB" w14:textId="77777777" w:rsidR="00296615" w:rsidRPr="00296615" w:rsidRDefault="00296615">
            <w:pPr>
              <w:rPr>
                <w:rFonts w:ascii="Arial" w:hAnsi="Arial" w:cs="Arial"/>
              </w:rPr>
            </w:pPr>
            <w:r w:rsidRPr="00296615">
              <w:rPr>
                <w:rFonts w:ascii="Arial" w:hAnsi="Arial" w:cs="Arial"/>
                <w:b/>
              </w:rPr>
              <w:t>Think about it:</w:t>
            </w:r>
            <w:r w:rsidRPr="00296615">
              <w:rPr>
                <w:rFonts w:ascii="Arial" w:hAnsi="Arial" w:cs="Arial"/>
              </w:rPr>
              <w:t xml:space="preserve"> What </w:t>
            </w:r>
            <w:r>
              <w:rPr>
                <w:rFonts w:ascii="Arial" w:hAnsi="Arial" w:cs="Arial"/>
              </w:rPr>
              <w:t xml:space="preserve">statistical method could we use to explore how much of the variation in </w:t>
            </w:r>
            <w:proofErr w:type="spellStart"/>
            <w:r>
              <w:rPr>
                <w:rFonts w:ascii="Arial" w:hAnsi="Arial" w:cs="Arial"/>
              </w:rPr>
              <w:t>AA:dgLA</w:t>
            </w:r>
            <w:proofErr w:type="spellEnd"/>
            <w:r>
              <w:rPr>
                <w:rFonts w:ascii="Arial" w:hAnsi="Arial" w:cs="Arial"/>
              </w:rPr>
              <w:t xml:space="preserve"> ratios are explained by the rs174547 variant within FADS1? </w:t>
            </w:r>
          </w:p>
        </w:tc>
      </w:tr>
    </w:tbl>
    <w:p w14:paraId="26F08C16" w14:textId="77777777" w:rsidR="00296615" w:rsidRDefault="00296615"/>
    <w:p w14:paraId="753B0294" w14:textId="77777777" w:rsidR="00296615" w:rsidRDefault="00296615">
      <w:r>
        <w:t xml:space="preserve">Analysis of variance is one approach to explore how much of the variation in the </w:t>
      </w:r>
      <w:proofErr w:type="spellStart"/>
      <w:r>
        <w:t>AA:dgLA</w:t>
      </w:r>
      <w:proofErr w:type="spellEnd"/>
      <w:r>
        <w:t xml:space="preserve"> ratio is explained by the rs174547 variant in the FADS1 gene. Table 1 illustrates the sum of squares </w:t>
      </w:r>
      <w:r w:rsidR="00FC0BE6">
        <w:t xml:space="preserve">and degrees of freedom for this model. </w:t>
      </w:r>
    </w:p>
    <w:p w14:paraId="73DED8C1" w14:textId="77777777" w:rsidR="00296615" w:rsidRDefault="00296615"/>
    <w:p w14:paraId="472E6105" w14:textId="77777777" w:rsidR="00296615" w:rsidRPr="00296615" w:rsidRDefault="00296615">
      <w:r w:rsidRPr="00296615">
        <w:rPr>
          <w:b/>
        </w:rPr>
        <w:t xml:space="preserve">Table 1. Analysis of variance </w:t>
      </w:r>
      <w:r>
        <w:rPr>
          <w:b/>
        </w:rPr>
        <w:t>table</w:t>
      </w:r>
    </w:p>
    <w:p w14:paraId="594CCEDD" w14:textId="77777777" w:rsidR="00296615" w:rsidRPr="00296615" w:rsidRDefault="00296615"/>
    <w:tbl>
      <w:tblPr>
        <w:tblStyle w:val="TableGrid"/>
        <w:tblW w:w="0" w:type="auto"/>
        <w:tblLook w:val="04A0" w:firstRow="1" w:lastRow="0" w:firstColumn="1" w:lastColumn="0" w:noHBand="0" w:noVBand="1"/>
      </w:tblPr>
      <w:tblGrid>
        <w:gridCol w:w="1678"/>
        <w:gridCol w:w="1678"/>
        <w:gridCol w:w="1678"/>
      </w:tblGrid>
      <w:tr w:rsidR="00296615" w:rsidRPr="00296615" w14:paraId="2A18875A" w14:textId="77777777" w:rsidTr="00296615">
        <w:tc>
          <w:tcPr>
            <w:tcW w:w="1678" w:type="dxa"/>
          </w:tcPr>
          <w:p w14:paraId="72A8CA26" w14:textId="77777777" w:rsidR="00296615" w:rsidRPr="00296615" w:rsidRDefault="00296615">
            <w:pPr>
              <w:rPr>
                <w:rFonts w:ascii="Arial" w:hAnsi="Arial" w:cs="Arial"/>
                <w:b/>
              </w:rPr>
            </w:pPr>
            <w:r w:rsidRPr="00296615">
              <w:rPr>
                <w:rFonts w:ascii="Arial" w:hAnsi="Arial" w:cs="Arial"/>
                <w:b/>
              </w:rPr>
              <w:t>Source</w:t>
            </w:r>
          </w:p>
        </w:tc>
        <w:tc>
          <w:tcPr>
            <w:tcW w:w="1678" w:type="dxa"/>
          </w:tcPr>
          <w:p w14:paraId="50601A27" w14:textId="77777777" w:rsidR="00296615" w:rsidRPr="00296615" w:rsidRDefault="00296615">
            <w:pPr>
              <w:rPr>
                <w:rFonts w:ascii="Arial" w:hAnsi="Arial" w:cs="Arial"/>
                <w:b/>
              </w:rPr>
            </w:pPr>
            <w:proofErr w:type="spellStart"/>
            <w:r w:rsidRPr="00296615">
              <w:rPr>
                <w:rFonts w:ascii="Arial" w:hAnsi="Arial" w:cs="Arial"/>
                <w:b/>
              </w:rPr>
              <w:t>df</w:t>
            </w:r>
            <w:proofErr w:type="spellEnd"/>
          </w:p>
        </w:tc>
        <w:tc>
          <w:tcPr>
            <w:tcW w:w="1678" w:type="dxa"/>
          </w:tcPr>
          <w:p w14:paraId="11D817DF" w14:textId="77777777" w:rsidR="00296615" w:rsidRPr="00296615" w:rsidRDefault="00296615">
            <w:pPr>
              <w:rPr>
                <w:rFonts w:ascii="Arial" w:hAnsi="Arial" w:cs="Arial"/>
                <w:b/>
              </w:rPr>
            </w:pPr>
            <w:r w:rsidRPr="00296615">
              <w:rPr>
                <w:rFonts w:ascii="Arial" w:hAnsi="Arial" w:cs="Arial"/>
                <w:b/>
              </w:rPr>
              <w:t>SS</w:t>
            </w:r>
          </w:p>
        </w:tc>
      </w:tr>
      <w:tr w:rsidR="00296615" w:rsidRPr="00296615" w14:paraId="478C6C03" w14:textId="77777777" w:rsidTr="00296615">
        <w:tc>
          <w:tcPr>
            <w:tcW w:w="1678" w:type="dxa"/>
          </w:tcPr>
          <w:p w14:paraId="0A0D4A29" w14:textId="77777777" w:rsidR="00296615" w:rsidRPr="00296615" w:rsidRDefault="00FC0BE6">
            <w:pPr>
              <w:rPr>
                <w:rFonts w:ascii="Arial" w:hAnsi="Arial" w:cs="Arial"/>
                <w:b/>
              </w:rPr>
            </w:pPr>
            <w:r>
              <w:rPr>
                <w:rFonts w:ascii="Arial" w:hAnsi="Arial" w:cs="Arial"/>
                <w:b/>
              </w:rPr>
              <w:t>FADS1</w:t>
            </w:r>
          </w:p>
        </w:tc>
        <w:tc>
          <w:tcPr>
            <w:tcW w:w="1678" w:type="dxa"/>
          </w:tcPr>
          <w:p w14:paraId="3AE2BECB" w14:textId="77777777" w:rsidR="00296615" w:rsidRPr="00296615" w:rsidRDefault="00296615">
            <w:pPr>
              <w:rPr>
                <w:rFonts w:ascii="Arial" w:hAnsi="Arial" w:cs="Arial"/>
              </w:rPr>
            </w:pPr>
            <w:r w:rsidRPr="00296615">
              <w:rPr>
                <w:rFonts w:ascii="Arial" w:hAnsi="Arial" w:cs="Arial"/>
              </w:rPr>
              <w:t>2</w:t>
            </w:r>
          </w:p>
        </w:tc>
        <w:tc>
          <w:tcPr>
            <w:tcW w:w="1678" w:type="dxa"/>
          </w:tcPr>
          <w:p w14:paraId="27BE388E" w14:textId="77777777" w:rsidR="00296615" w:rsidRPr="00296615" w:rsidRDefault="00296615">
            <w:pPr>
              <w:rPr>
                <w:rFonts w:ascii="Arial" w:hAnsi="Arial" w:cs="Arial"/>
              </w:rPr>
            </w:pPr>
            <w:r w:rsidRPr="00296615">
              <w:rPr>
                <w:rFonts w:ascii="Arial" w:hAnsi="Arial" w:cs="Arial"/>
              </w:rPr>
              <w:t>8028.94</w:t>
            </w:r>
          </w:p>
        </w:tc>
      </w:tr>
      <w:tr w:rsidR="00296615" w:rsidRPr="00296615" w14:paraId="088D7462" w14:textId="77777777" w:rsidTr="00296615">
        <w:tc>
          <w:tcPr>
            <w:tcW w:w="1678" w:type="dxa"/>
          </w:tcPr>
          <w:p w14:paraId="7118936B" w14:textId="77777777" w:rsidR="00296615" w:rsidRPr="00296615" w:rsidRDefault="00296615">
            <w:pPr>
              <w:rPr>
                <w:rFonts w:ascii="Arial" w:hAnsi="Arial" w:cs="Arial"/>
                <w:b/>
              </w:rPr>
            </w:pPr>
            <w:r w:rsidRPr="00296615">
              <w:rPr>
                <w:rFonts w:ascii="Arial" w:hAnsi="Arial" w:cs="Arial"/>
                <w:b/>
              </w:rPr>
              <w:t>Error</w:t>
            </w:r>
          </w:p>
        </w:tc>
        <w:tc>
          <w:tcPr>
            <w:tcW w:w="1678" w:type="dxa"/>
          </w:tcPr>
          <w:p w14:paraId="56DC5207" w14:textId="77777777" w:rsidR="00296615" w:rsidRPr="00296615" w:rsidRDefault="00296615">
            <w:pPr>
              <w:rPr>
                <w:rFonts w:ascii="Arial" w:hAnsi="Arial" w:cs="Arial"/>
              </w:rPr>
            </w:pPr>
            <w:r w:rsidRPr="00296615">
              <w:rPr>
                <w:rFonts w:ascii="Arial" w:hAnsi="Arial" w:cs="Arial"/>
              </w:rPr>
              <w:t>2642</w:t>
            </w:r>
          </w:p>
        </w:tc>
        <w:tc>
          <w:tcPr>
            <w:tcW w:w="1678" w:type="dxa"/>
          </w:tcPr>
          <w:p w14:paraId="5D43AE95" w14:textId="77777777" w:rsidR="00296615" w:rsidRPr="00296615" w:rsidRDefault="00296615">
            <w:pPr>
              <w:rPr>
                <w:rFonts w:ascii="Arial" w:hAnsi="Arial" w:cs="Arial"/>
              </w:rPr>
            </w:pPr>
            <w:r w:rsidRPr="00296615">
              <w:rPr>
                <w:rFonts w:ascii="Arial" w:hAnsi="Arial" w:cs="Arial"/>
              </w:rPr>
              <w:t>12683.01</w:t>
            </w:r>
          </w:p>
        </w:tc>
      </w:tr>
      <w:tr w:rsidR="00296615" w:rsidRPr="00296615" w14:paraId="6593F1FA" w14:textId="77777777" w:rsidTr="00296615">
        <w:tc>
          <w:tcPr>
            <w:tcW w:w="1678" w:type="dxa"/>
          </w:tcPr>
          <w:p w14:paraId="35B67672" w14:textId="77777777" w:rsidR="00296615" w:rsidRPr="00296615" w:rsidRDefault="00296615">
            <w:pPr>
              <w:rPr>
                <w:rFonts w:ascii="Arial" w:hAnsi="Arial" w:cs="Arial"/>
                <w:b/>
              </w:rPr>
            </w:pPr>
            <w:r w:rsidRPr="00296615">
              <w:rPr>
                <w:rFonts w:ascii="Arial" w:hAnsi="Arial" w:cs="Arial"/>
                <w:b/>
              </w:rPr>
              <w:t>Total</w:t>
            </w:r>
          </w:p>
        </w:tc>
        <w:tc>
          <w:tcPr>
            <w:tcW w:w="1678" w:type="dxa"/>
          </w:tcPr>
          <w:p w14:paraId="33EAB8A6" w14:textId="77777777" w:rsidR="00296615" w:rsidRPr="00296615" w:rsidRDefault="00296615">
            <w:pPr>
              <w:rPr>
                <w:rFonts w:ascii="Arial" w:hAnsi="Arial" w:cs="Arial"/>
              </w:rPr>
            </w:pPr>
            <w:r w:rsidRPr="00296615">
              <w:rPr>
                <w:rFonts w:ascii="Arial" w:hAnsi="Arial" w:cs="Arial"/>
              </w:rPr>
              <w:t>2644</w:t>
            </w:r>
          </w:p>
        </w:tc>
        <w:tc>
          <w:tcPr>
            <w:tcW w:w="1678" w:type="dxa"/>
          </w:tcPr>
          <w:p w14:paraId="4EBA8BD9" w14:textId="77777777" w:rsidR="00296615" w:rsidRPr="00296615" w:rsidRDefault="00296615">
            <w:pPr>
              <w:rPr>
                <w:rFonts w:ascii="Arial" w:hAnsi="Arial" w:cs="Arial"/>
              </w:rPr>
            </w:pPr>
            <w:r w:rsidRPr="00296615">
              <w:rPr>
                <w:rFonts w:ascii="Arial" w:hAnsi="Arial" w:cs="Arial"/>
              </w:rPr>
              <w:t>20711.95</w:t>
            </w:r>
          </w:p>
        </w:tc>
      </w:tr>
    </w:tbl>
    <w:p w14:paraId="77B6DE1B" w14:textId="77777777" w:rsidR="00296615" w:rsidRPr="00296615" w:rsidRDefault="00296615"/>
    <w:p w14:paraId="3D73AD4A" w14:textId="77777777" w:rsidR="00530468" w:rsidRPr="00296615" w:rsidRDefault="00FC0BE6">
      <w:r>
        <w:lastRenderedPageBreak/>
        <w:t xml:space="preserve">Table 1 illustrates that a substantial amount of the variation in the </w:t>
      </w:r>
      <w:proofErr w:type="spellStart"/>
      <w:r>
        <w:t>AA:dgLA</w:t>
      </w:r>
      <w:proofErr w:type="spellEnd"/>
      <w:r>
        <w:t xml:space="preserve"> ratio is explained by variation within FADS1 (the explained sum of squares is 8028 and the unexplained is only 12683). This is further visualized in Figure 2.</w:t>
      </w:r>
    </w:p>
    <w:p w14:paraId="19CBD6E9" w14:textId="77777777" w:rsidR="00FC0BE6" w:rsidRDefault="00FC0BE6"/>
    <w:p w14:paraId="3C00791E" w14:textId="77777777" w:rsidR="00FC0BE6" w:rsidRPr="00FC0BE6" w:rsidRDefault="00FC0BE6">
      <w:pPr>
        <w:rPr>
          <w:b/>
        </w:rPr>
      </w:pPr>
      <w:r w:rsidRPr="00FC0BE6">
        <w:rPr>
          <w:b/>
        </w:rPr>
        <w:t>Figure 2. Pie chart of variation explained</w:t>
      </w:r>
    </w:p>
    <w:p w14:paraId="793350E2" w14:textId="77777777" w:rsidR="00FC0BE6" w:rsidRDefault="00FC0BE6"/>
    <w:p w14:paraId="40B2D7E7" w14:textId="77777777" w:rsidR="00FC0BE6" w:rsidRDefault="00FC0BE6">
      <w:r>
        <w:t xml:space="preserve"> </w:t>
      </w:r>
      <w:r>
        <w:rPr>
          <w:noProof/>
        </w:rPr>
        <w:drawing>
          <wp:inline distT="0" distB="0" distL="0" distR="0" wp14:anchorId="3B110E16" wp14:editId="185631A5">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117EAE" w14:textId="77777777" w:rsidR="00504F40" w:rsidRPr="00296615" w:rsidRDefault="00C7166B">
      <w:r w:rsidRPr="00296615">
        <w:br/>
      </w:r>
    </w:p>
    <w:p w14:paraId="423590CF" w14:textId="77777777" w:rsidR="00C70D72" w:rsidRPr="00C70D72" w:rsidRDefault="00FC0BE6">
      <w:pPr>
        <w:rPr>
          <w:b/>
        </w:rPr>
      </w:pPr>
      <w:r>
        <w:rPr>
          <w:b/>
        </w:rPr>
        <w:t>Contrasting this approach with t</w:t>
      </w:r>
      <w:r w:rsidR="00C70D72" w:rsidRPr="00C70D72">
        <w:rPr>
          <w:b/>
        </w:rPr>
        <w:t xml:space="preserve">he linear </w:t>
      </w:r>
      <w:r w:rsidR="00504253">
        <w:rPr>
          <w:b/>
        </w:rPr>
        <w:t xml:space="preserve">regression </w:t>
      </w:r>
      <w:r w:rsidR="00C70D72" w:rsidRPr="00C70D72">
        <w:rPr>
          <w:b/>
        </w:rPr>
        <w:t>model</w:t>
      </w:r>
    </w:p>
    <w:p w14:paraId="1C012680" w14:textId="77777777" w:rsidR="00C70D72" w:rsidRDefault="00C70D72"/>
    <w:p w14:paraId="732EB30C" w14:textId="77777777" w:rsidR="00640F7F" w:rsidRDefault="00640F7F">
      <w:r>
        <w:t xml:space="preserve">Not only does the </w:t>
      </w:r>
      <w:r w:rsidR="0041310F">
        <w:t>fatty acid ratio</w:t>
      </w:r>
      <w:r>
        <w:t xml:space="preserve"> differ based on the </w:t>
      </w:r>
      <w:r w:rsidR="0041310F">
        <w:t>genetic variant</w:t>
      </w:r>
      <w:r>
        <w:t xml:space="preserve">, </w:t>
      </w:r>
      <w:r w:rsidR="0041310F">
        <w:t xml:space="preserve">but </w:t>
      </w:r>
      <w:r>
        <w:t xml:space="preserve">the association appears to be </w:t>
      </w:r>
      <w:r>
        <w:rPr>
          <w:i/>
        </w:rPr>
        <w:t>linear</w:t>
      </w:r>
      <w:r>
        <w:t xml:space="preserve"> – the means of the three distributions could be modelled as following on a line.</w:t>
      </w:r>
      <w:r w:rsidR="00FC0BE6">
        <w:t xml:space="preserve"> One downside of the ANOVA approach shown above is that it does not provide numeric values that directly connect the statistical model to the genetic model.</w:t>
      </w:r>
    </w:p>
    <w:p w14:paraId="6197B630" w14:textId="77777777" w:rsidR="00FC0BE6" w:rsidRDefault="00FC0BE6"/>
    <w:p w14:paraId="14353FC2" w14:textId="77777777" w:rsidR="00FC0BE6" w:rsidRDefault="00FC0BE6">
      <w:r>
        <w:t xml:space="preserve">One alternative is to use a linear model (simple linear regression). We used the Multiple Regression applet (available at </w:t>
      </w:r>
      <w:hyperlink r:id="rId8" w:history="1">
        <w:r w:rsidRPr="009A328C">
          <w:rPr>
            <w:rStyle w:val="Hyperlink"/>
          </w:rPr>
          <w:t>www.isi-stats.com</w:t>
        </w:r>
      </w:hyperlink>
      <w:r>
        <w:t xml:space="preserve">) to calculate the </w:t>
      </w:r>
      <w:r w:rsidR="0072000D">
        <w:t xml:space="preserve">linear regression model for this data using the number of copies of the variant (0, 1 or 2) as the predictor and the </w:t>
      </w:r>
      <w:proofErr w:type="spellStart"/>
      <w:r w:rsidR="0072000D">
        <w:t>AA:dgLA</w:t>
      </w:r>
      <w:proofErr w:type="spellEnd"/>
      <w:r w:rsidR="0072000D">
        <w:t xml:space="preserve"> ratio as the response. The output is seen in Figure 3 below. </w:t>
      </w:r>
    </w:p>
    <w:p w14:paraId="59DBB3AA" w14:textId="77777777" w:rsidR="0072000D" w:rsidRDefault="0072000D"/>
    <w:p w14:paraId="5C8877D1" w14:textId="77777777" w:rsidR="0072000D" w:rsidRDefault="0072000D"/>
    <w:p w14:paraId="7A697ED0" w14:textId="77777777" w:rsidR="0072000D" w:rsidRDefault="0072000D"/>
    <w:p w14:paraId="3C32F55D" w14:textId="77777777" w:rsidR="0072000D" w:rsidRDefault="0072000D"/>
    <w:p w14:paraId="09FBB7BF" w14:textId="77777777" w:rsidR="0072000D" w:rsidRDefault="0072000D"/>
    <w:p w14:paraId="18C4CE64" w14:textId="77777777" w:rsidR="0072000D" w:rsidRDefault="0072000D"/>
    <w:p w14:paraId="512E880D" w14:textId="77777777" w:rsidR="0072000D" w:rsidRDefault="0072000D"/>
    <w:p w14:paraId="01263DA2" w14:textId="77777777" w:rsidR="0072000D" w:rsidRDefault="0072000D"/>
    <w:p w14:paraId="33171A56" w14:textId="77777777" w:rsidR="0072000D" w:rsidRDefault="0072000D"/>
    <w:p w14:paraId="185A2EB6" w14:textId="77777777" w:rsidR="0072000D" w:rsidRDefault="0072000D"/>
    <w:p w14:paraId="56BEB673" w14:textId="77777777" w:rsidR="0072000D" w:rsidRDefault="0072000D"/>
    <w:p w14:paraId="6D6A300E" w14:textId="77777777" w:rsidR="0072000D" w:rsidRDefault="0072000D"/>
    <w:p w14:paraId="1DC27C2E" w14:textId="77777777" w:rsidR="0072000D" w:rsidRPr="0072000D" w:rsidRDefault="0072000D">
      <w:pPr>
        <w:rPr>
          <w:b/>
        </w:rPr>
      </w:pPr>
      <w:r w:rsidRPr="0072000D">
        <w:rPr>
          <w:b/>
        </w:rPr>
        <w:lastRenderedPageBreak/>
        <w:t xml:space="preserve">Figure 3. Regression line predicting the </w:t>
      </w:r>
      <w:proofErr w:type="spellStart"/>
      <w:r w:rsidRPr="0072000D">
        <w:rPr>
          <w:b/>
        </w:rPr>
        <w:t>AA:dgLA</w:t>
      </w:r>
      <w:proofErr w:type="spellEnd"/>
      <w:r w:rsidRPr="0072000D">
        <w:rPr>
          <w:b/>
        </w:rPr>
        <w:t xml:space="preserve"> ratio by FADS1 genetic variant</w:t>
      </w:r>
    </w:p>
    <w:p w14:paraId="4922A430" w14:textId="77777777" w:rsidR="0072000D" w:rsidRDefault="0072000D">
      <w:bookmarkStart w:id="0" w:name="_GoBack"/>
      <w:r>
        <w:rPr>
          <w:noProof/>
        </w:rPr>
        <w:drawing>
          <wp:inline distT="0" distB="0" distL="0" distR="0" wp14:anchorId="3DBB3DA4" wp14:editId="500801D5">
            <wp:extent cx="3151196" cy="5321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1196" cy="5321808"/>
                    </a:xfrm>
                    <a:prstGeom prst="rect">
                      <a:avLst/>
                    </a:prstGeom>
                    <a:noFill/>
                    <a:ln>
                      <a:noFill/>
                    </a:ln>
                  </pic:spPr>
                </pic:pic>
              </a:graphicData>
            </a:graphic>
          </wp:inline>
        </w:drawing>
      </w:r>
      <w:bookmarkEnd w:id="0"/>
    </w:p>
    <w:p w14:paraId="5101971C" w14:textId="77777777" w:rsidR="00FC0BE6" w:rsidRDefault="00FC0BE6"/>
    <w:p w14:paraId="450EE690" w14:textId="77777777" w:rsidR="0072000D" w:rsidRDefault="0072000D">
      <w:r>
        <w:t xml:space="preserve">A few important things are worth noting about this model. First, we see that the variance explained by the model is (SS=8027.88 with linear model vs. </w:t>
      </w:r>
      <w:r w:rsidRPr="00296615">
        <w:t>8028.94</w:t>
      </w:r>
      <w:r>
        <w:t xml:space="preserve"> from the ANOVA model; the </w:t>
      </w:r>
      <w:proofErr w:type="spellStart"/>
      <w:r>
        <w:t>SSModel</w:t>
      </w:r>
      <w:proofErr w:type="spellEnd"/>
      <w:r>
        <w:t xml:space="preserve"> (or R</w:t>
      </w:r>
      <w:r w:rsidRPr="0072000D">
        <w:rPr>
          <w:vertAlign w:val="superscript"/>
        </w:rPr>
        <w:t>2</w:t>
      </w:r>
      <w:r>
        <w:t xml:space="preserve">) is </w:t>
      </w:r>
      <w:proofErr w:type="gramStart"/>
      <w:r>
        <w:t>38.8)%</w:t>
      </w:r>
      <w:proofErr w:type="gramEnd"/>
      <w:r>
        <w:t xml:space="preserve">) is nearly identical. Why is the ANOVA model slightly better? The ANOVA model will always predict each group mean exactly (see Table 2 below) because it is fitting a separate means model. The regression model has an advantage though, in terms of interpretation. With the regression model we have built in language, the slope, which helps us describe how the fatty acid ratio is related to the genetic variant. </w:t>
      </w:r>
    </w:p>
    <w:p w14:paraId="67AFF089" w14:textId="77777777" w:rsidR="0072000D" w:rsidRDefault="0072000D"/>
    <w:p w14:paraId="63ABA9E2" w14:textId="77777777" w:rsidR="0072000D" w:rsidRDefault="0072000D"/>
    <w:p w14:paraId="4BA13571" w14:textId="77777777" w:rsidR="0072000D" w:rsidRDefault="0072000D"/>
    <w:p w14:paraId="028C10F0" w14:textId="77777777" w:rsidR="0072000D" w:rsidRDefault="0072000D"/>
    <w:p w14:paraId="52727558" w14:textId="77777777" w:rsidR="0072000D" w:rsidRDefault="0072000D"/>
    <w:p w14:paraId="0C0C869E" w14:textId="77777777" w:rsidR="0072000D" w:rsidRDefault="0072000D"/>
    <w:p w14:paraId="5795171D" w14:textId="77777777" w:rsidR="0072000D" w:rsidRDefault="0072000D"/>
    <w:p w14:paraId="0DA4AAD3" w14:textId="77777777" w:rsidR="0072000D" w:rsidRPr="0072000D" w:rsidRDefault="0072000D">
      <w:pPr>
        <w:rPr>
          <w:b/>
        </w:rPr>
      </w:pPr>
      <w:r w:rsidRPr="0072000D">
        <w:rPr>
          <w:b/>
        </w:rPr>
        <w:lastRenderedPageBreak/>
        <w:t xml:space="preserve">Table 2. Actual and predicted values of the </w:t>
      </w:r>
      <w:proofErr w:type="spellStart"/>
      <w:r w:rsidRPr="0072000D">
        <w:rPr>
          <w:b/>
        </w:rPr>
        <w:t>AA:dgLA</w:t>
      </w:r>
      <w:proofErr w:type="spellEnd"/>
      <w:r w:rsidRPr="0072000D">
        <w:rPr>
          <w:b/>
        </w:rPr>
        <w:t xml:space="preserve"> ratio</w:t>
      </w:r>
    </w:p>
    <w:p w14:paraId="013A1ABA" w14:textId="77777777" w:rsidR="0072000D" w:rsidRDefault="0072000D"/>
    <w:tbl>
      <w:tblPr>
        <w:tblStyle w:val="TableGrid"/>
        <w:tblW w:w="0" w:type="auto"/>
        <w:tblLook w:val="04A0" w:firstRow="1" w:lastRow="0" w:firstColumn="1" w:lastColumn="0" w:noHBand="0" w:noVBand="1"/>
      </w:tblPr>
      <w:tblGrid>
        <w:gridCol w:w="2517"/>
        <w:gridCol w:w="2517"/>
        <w:gridCol w:w="2518"/>
        <w:gridCol w:w="2518"/>
      </w:tblGrid>
      <w:tr w:rsidR="0072000D" w14:paraId="38B4E19B" w14:textId="77777777" w:rsidTr="0072000D">
        <w:tc>
          <w:tcPr>
            <w:tcW w:w="2517" w:type="dxa"/>
          </w:tcPr>
          <w:p w14:paraId="2D1FFC48" w14:textId="77777777" w:rsidR="0072000D" w:rsidRPr="0072000D" w:rsidRDefault="0072000D">
            <w:pPr>
              <w:rPr>
                <w:b/>
              </w:rPr>
            </w:pPr>
            <w:r w:rsidRPr="0072000D">
              <w:rPr>
                <w:b/>
              </w:rPr>
              <w:t>FADS variant</w:t>
            </w:r>
          </w:p>
        </w:tc>
        <w:tc>
          <w:tcPr>
            <w:tcW w:w="2517" w:type="dxa"/>
          </w:tcPr>
          <w:p w14:paraId="3F1E1E2A" w14:textId="77777777" w:rsidR="0072000D" w:rsidRPr="0072000D" w:rsidRDefault="0072000D">
            <w:pPr>
              <w:rPr>
                <w:b/>
              </w:rPr>
            </w:pPr>
            <w:r w:rsidRPr="0072000D">
              <w:rPr>
                <w:b/>
              </w:rPr>
              <w:t>Actual means</w:t>
            </w:r>
          </w:p>
        </w:tc>
        <w:tc>
          <w:tcPr>
            <w:tcW w:w="2518" w:type="dxa"/>
          </w:tcPr>
          <w:p w14:paraId="01780598" w14:textId="77777777" w:rsidR="0072000D" w:rsidRPr="0072000D" w:rsidRDefault="0072000D">
            <w:pPr>
              <w:rPr>
                <w:b/>
              </w:rPr>
            </w:pPr>
            <w:r w:rsidRPr="0072000D">
              <w:rPr>
                <w:b/>
              </w:rPr>
              <w:t>Predicted by ANOVA</w:t>
            </w:r>
          </w:p>
        </w:tc>
        <w:tc>
          <w:tcPr>
            <w:tcW w:w="2518" w:type="dxa"/>
          </w:tcPr>
          <w:p w14:paraId="747B4938" w14:textId="77777777" w:rsidR="0072000D" w:rsidRPr="0072000D" w:rsidRDefault="0072000D">
            <w:pPr>
              <w:rPr>
                <w:b/>
              </w:rPr>
            </w:pPr>
            <w:r w:rsidRPr="0072000D">
              <w:rPr>
                <w:b/>
              </w:rPr>
              <w:t>Predicted by linear regression</w:t>
            </w:r>
          </w:p>
        </w:tc>
      </w:tr>
      <w:tr w:rsidR="0072000D" w14:paraId="0A8DADBB" w14:textId="77777777" w:rsidTr="0072000D">
        <w:tc>
          <w:tcPr>
            <w:tcW w:w="2517" w:type="dxa"/>
          </w:tcPr>
          <w:p w14:paraId="0E3FCADB" w14:textId="77777777" w:rsidR="0072000D" w:rsidRPr="0072000D" w:rsidRDefault="0072000D" w:rsidP="0072000D">
            <w:pPr>
              <w:rPr>
                <w:b/>
              </w:rPr>
            </w:pPr>
            <w:r w:rsidRPr="0072000D">
              <w:rPr>
                <w:b/>
              </w:rPr>
              <w:t>0</w:t>
            </w:r>
          </w:p>
        </w:tc>
        <w:tc>
          <w:tcPr>
            <w:tcW w:w="2517" w:type="dxa"/>
          </w:tcPr>
          <w:p w14:paraId="4055FB57" w14:textId="77777777" w:rsidR="0072000D" w:rsidRDefault="0072000D" w:rsidP="0072000D">
            <w:r>
              <w:t>12.82</w:t>
            </w:r>
          </w:p>
        </w:tc>
        <w:tc>
          <w:tcPr>
            <w:tcW w:w="2518" w:type="dxa"/>
          </w:tcPr>
          <w:p w14:paraId="3D9812E5" w14:textId="77777777" w:rsidR="0072000D" w:rsidRDefault="0072000D" w:rsidP="0072000D">
            <w:r>
              <w:t>12.82</w:t>
            </w:r>
          </w:p>
        </w:tc>
        <w:tc>
          <w:tcPr>
            <w:tcW w:w="2518" w:type="dxa"/>
          </w:tcPr>
          <w:p w14:paraId="0E19B050" w14:textId="77777777" w:rsidR="0072000D" w:rsidRDefault="0072000D" w:rsidP="0072000D">
            <w:r>
              <w:t>12.81</w:t>
            </w:r>
          </w:p>
        </w:tc>
      </w:tr>
      <w:tr w:rsidR="0072000D" w14:paraId="00C23610" w14:textId="77777777" w:rsidTr="0072000D">
        <w:tc>
          <w:tcPr>
            <w:tcW w:w="2517" w:type="dxa"/>
          </w:tcPr>
          <w:p w14:paraId="784E890A" w14:textId="77777777" w:rsidR="0072000D" w:rsidRPr="0072000D" w:rsidRDefault="0072000D" w:rsidP="0072000D">
            <w:pPr>
              <w:rPr>
                <w:b/>
              </w:rPr>
            </w:pPr>
            <w:r w:rsidRPr="0072000D">
              <w:rPr>
                <w:b/>
              </w:rPr>
              <w:t>1</w:t>
            </w:r>
          </w:p>
        </w:tc>
        <w:tc>
          <w:tcPr>
            <w:tcW w:w="2517" w:type="dxa"/>
          </w:tcPr>
          <w:p w14:paraId="77EC47FB" w14:textId="77777777" w:rsidR="0072000D" w:rsidRDefault="0072000D" w:rsidP="0072000D">
            <w:r>
              <w:t>10.15</w:t>
            </w:r>
          </w:p>
        </w:tc>
        <w:tc>
          <w:tcPr>
            <w:tcW w:w="2518" w:type="dxa"/>
          </w:tcPr>
          <w:p w14:paraId="3E92520F" w14:textId="77777777" w:rsidR="0072000D" w:rsidRDefault="0072000D" w:rsidP="0072000D">
            <w:r>
              <w:t>10.15</w:t>
            </w:r>
          </w:p>
        </w:tc>
        <w:tc>
          <w:tcPr>
            <w:tcW w:w="2518" w:type="dxa"/>
          </w:tcPr>
          <w:p w14:paraId="0E62D641" w14:textId="77777777" w:rsidR="0072000D" w:rsidRDefault="0072000D" w:rsidP="0072000D">
            <w:r>
              <w:t>10.16</w:t>
            </w:r>
          </w:p>
        </w:tc>
      </w:tr>
      <w:tr w:rsidR="0072000D" w14:paraId="3999C89C" w14:textId="77777777" w:rsidTr="0072000D">
        <w:tc>
          <w:tcPr>
            <w:tcW w:w="2517" w:type="dxa"/>
          </w:tcPr>
          <w:p w14:paraId="35A0AB00" w14:textId="77777777" w:rsidR="0072000D" w:rsidRPr="0072000D" w:rsidRDefault="0072000D" w:rsidP="0072000D">
            <w:pPr>
              <w:rPr>
                <w:b/>
              </w:rPr>
            </w:pPr>
            <w:r w:rsidRPr="0072000D">
              <w:rPr>
                <w:b/>
              </w:rPr>
              <w:t>2</w:t>
            </w:r>
          </w:p>
        </w:tc>
        <w:tc>
          <w:tcPr>
            <w:tcW w:w="2517" w:type="dxa"/>
          </w:tcPr>
          <w:p w14:paraId="6FCCF8C3" w14:textId="77777777" w:rsidR="0072000D" w:rsidRDefault="0072000D" w:rsidP="0072000D">
            <w:r>
              <w:t>7.57</w:t>
            </w:r>
          </w:p>
        </w:tc>
        <w:tc>
          <w:tcPr>
            <w:tcW w:w="2518" w:type="dxa"/>
          </w:tcPr>
          <w:p w14:paraId="25704D5F" w14:textId="77777777" w:rsidR="0072000D" w:rsidRDefault="0072000D" w:rsidP="0072000D">
            <w:r>
              <w:t>7.57</w:t>
            </w:r>
          </w:p>
        </w:tc>
        <w:tc>
          <w:tcPr>
            <w:tcW w:w="2518" w:type="dxa"/>
          </w:tcPr>
          <w:p w14:paraId="60550B27" w14:textId="77777777" w:rsidR="0072000D" w:rsidRDefault="0072000D" w:rsidP="0072000D">
            <w:r>
              <w:t>7.51</w:t>
            </w:r>
          </w:p>
        </w:tc>
      </w:tr>
    </w:tbl>
    <w:p w14:paraId="5BB1E2A9" w14:textId="77777777" w:rsidR="0072000D" w:rsidRDefault="0072000D">
      <w:r>
        <w:t xml:space="preserve">Arguably, there is more interpretability from the linear model because the slope of the model (-2.65) means something. </w:t>
      </w:r>
    </w:p>
    <w:p w14:paraId="52514D01" w14:textId="77777777" w:rsidR="0072000D" w:rsidRDefault="0072000D"/>
    <w:tbl>
      <w:tblPr>
        <w:tblStyle w:val="TableGrid"/>
        <w:tblW w:w="0" w:type="auto"/>
        <w:tblLook w:val="04A0" w:firstRow="1" w:lastRow="0" w:firstColumn="1" w:lastColumn="0" w:noHBand="0" w:noVBand="1"/>
      </w:tblPr>
      <w:tblGrid>
        <w:gridCol w:w="10070"/>
      </w:tblGrid>
      <w:tr w:rsidR="0072000D" w14:paraId="762EA090" w14:textId="77777777" w:rsidTr="0072000D">
        <w:tc>
          <w:tcPr>
            <w:tcW w:w="10070" w:type="dxa"/>
          </w:tcPr>
          <w:p w14:paraId="1403F083" w14:textId="77777777" w:rsidR="0072000D" w:rsidRDefault="0072000D">
            <w:r>
              <w:t xml:space="preserve">Think about it: What does the slope of the linear model (-2.65) mean genetically? </w:t>
            </w:r>
          </w:p>
        </w:tc>
      </w:tr>
    </w:tbl>
    <w:p w14:paraId="75D29F62" w14:textId="77777777" w:rsidR="00DE5328" w:rsidRDefault="00DE5328"/>
    <w:p w14:paraId="2C39622C" w14:textId="77777777" w:rsidR="00DE5328" w:rsidRDefault="00DE5328">
      <w:r>
        <w:t>Because the slope is negative, we understand there is a decreasing relationship between fatty acid ratio and the number of copies of the genetic variant. As the number of copies of the genetic variant goes up, the fatty acid ratio goes down. In addition, using the value of the slope, we can quantify the rate of change in the fatty acid ratio. We predict a decrease of 2.65 in the fatty acid ratio for each additional copy of the genetic variant.</w:t>
      </w:r>
      <w:r w:rsidR="0072000D">
        <w:t xml:space="preserve"> This suggests an ‘additive mode of inheritance’ such that the protein made by FADS1 is more efficient with the variant and the more copies of the variant you have, you are able to convert more and more AA to </w:t>
      </w:r>
      <w:proofErr w:type="spellStart"/>
      <w:r w:rsidR="0072000D">
        <w:t>dgLA</w:t>
      </w:r>
      <w:proofErr w:type="spellEnd"/>
      <w:r w:rsidR="0072000D">
        <w:t>.</w:t>
      </w:r>
    </w:p>
    <w:p w14:paraId="3077F74B" w14:textId="77777777" w:rsidR="00504253" w:rsidRDefault="00504253"/>
    <w:p w14:paraId="0556D2C3" w14:textId="77777777" w:rsidR="00504253" w:rsidRDefault="00504253">
      <w:r>
        <w:t>It makes sense in this study to think of the explanatory variable, genetic variant, as quantitative since not inheriting, inheriting from your mother or father, and inheriting from both has a natural quantitative meaning for the number of copies of the variant. In addition, because the response variable, fatty acid ratio, has a linear relationship with the number of copies of the genetic variant, in simplifying from the separate means model to the linear model we don’t lose any information. Both the R</w:t>
      </w:r>
      <w:r w:rsidRPr="00504253">
        <w:rPr>
          <w:vertAlign w:val="superscript"/>
        </w:rPr>
        <w:t>2</w:t>
      </w:r>
      <w:r>
        <w:t xml:space="preserve"> and SE residual for the linear model are very similar to those of the separate means model. And by simplifying to the regression model we gain interpretability.</w:t>
      </w:r>
    </w:p>
    <w:p w14:paraId="6EE0467F" w14:textId="77777777" w:rsidR="00DE5328" w:rsidRDefault="00DE5328"/>
    <w:p w14:paraId="2CFD772A" w14:textId="77777777" w:rsidR="00504253" w:rsidRPr="00504253" w:rsidRDefault="00504253">
      <w:pPr>
        <w:rPr>
          <w:b/>
        </w:rPr>
      </w:pPr>
      <w:r w:rsidRPr="00504253">
        <w:rPr>
          <w:b/>
        </w:rPr>
        <w:t>Step 4: Draw Inferences beyond the data.</w:t>
      </w:r>
    </w:p>
    <w:p w14:paraId="12D15802" w14:textId="77777777" w:rsidR="00504253" w:rsidRDefault="00504253"/>
    <w:p w14:paraId="0429FEBA" w14:textId="77777777" w:rsidR="0072000D" w:rsidRDefault="0072000D">
      <w:r>
        <w:t>But there is another key aspect (beyond interpretability) as to why the linear model may be better in this case</w:t>
      </w:r>
      <w:r w:rsidR="00CC273F">
        <w:t>. The full ANOVA table is shown below. In this case, the explained variation is highly statistically significant (p&lt;0.0001), and the F-statistic is 836.255.</w:t>
      </w:r>
    </w:p>
    <w:p w14:paraId="5A1DC94F" w14:textId="77777777" w:rsidR="0072000D" w:rsidRDefault="0072000D"/>
    <w:p w14:paraId="43C0CE31" w14:textId="77777777" w:rsidR="0072000D" w:rsidRPr="00296615" w:rsidRDefault="0072000D" w:rsidP="0072000D">
      <w:r w:rsidRPr="00296615">
        <w:rPr>
          <w:b/>
        </w:rPr>
        <w:t xml:space="preserve">Table </w:t>
      </w:r>
      <w:r>
        <w:rPr>
          <w:b/>
        </w:rPr>
        <w:t>3</w:t>
      </w:r>
      <w:r w:rsidRPr="00296615">
        <w:rPr>
          <w:b/>
        </w:rPr>
        <w:t xml:space="preserve">. Analysis of variance </w:t>
      </w:r>
      <w:r>
        <w:rPr>
          <w:b/>
        </w:rPr>
        <w:t>table</w:t>
      </w:r>
      <w:r w:rsidR="00CC273F">
        <w:rPr>
          <w:b/>
        </w:rPr>
        <w:t xml:space="preserve"> for separate means model</w:t>
      </w:r>
    </w:p>
    <w:p w14:paraId="56B2F641" w14:textId="77777777" w:rsidR="0072000D" w:rsidRPr="0072000D" w:rsidRDefault="0072000D" w:rsidP="0072000D"/>
    <w:tbl>
      <w:tblPr>
        <w:tblStyle w:val="TableGrid"/>
        <w:tblW w:w="0" w:type="auto"/>
        <w:tblLook w:val="04A0" w:firstRow="1" w:lastRow="0" w:firstColumn="1" w:lastColumn="0" w:noHBand="0" w:noVBand="1"/>
      </w:tblPr>
      <w:tblGrid>
        <w:gridCol w:w="1678"/>
        <w:gridCol w:w="1678"/>
        <w:gridCol w:w="1678"/>
        <w:gridCol w:w="1678"/>
        <w:gridCol w:w="1678"/>
        <w:gridCol w:w="1678"/>
      </w:tblGrid>
      <w:tr w:rsidR="0072000D" w:rsidRPr="0072000D" w14:paraId="45C6B3B3" w14:textId="77777777" w:rsidTr="00F04899">
        <w:tc>
          <w:tcPr>
            <w:tcW w:w="1678" w:type="dxa"/>
          </w:tcPr>
          <w:p w14:paraId="2A9E0E41" w14:textId="77777777" w:rsidR="0072000D" w:rsidRPr="0072000D" w:rsidRDefault="0072000D" w:rsidP="00C11C05">
            <w:pPr>
              <w:rPr>
                <w:rFonts w:ascii="Arial" w:hAnsi="Arial" w:cs="Arial"/>
                <w:b/>
              </w:rPr>
            </w:pPr>
            <w:r w:rsidRPr="0072000D">
              <w:rPr>
                <w:rFonts w:ascii="Arial" w:hAnsi="Arial" w:cs="Arial"/>
                <w:b/>
              </w:rPr>
              <w:t>Source</w:t>
            </w:r>
          </w:p>
        </w:tc>
        <w:tc>
          <w:tcPr>
            <w:tcW w:w="1678" w:type="dxa"/>
          </w:tcPr>
          <w:p w14:paraId="0C95AA02" w14:textId="77777777" w:rsidR="0072000D" w:rsidRPr="0072000D" w:rsidRDefault="0072000D" w:rsidP="00C11C05">
            <w:pPr>
              <w:rPr>
                <w:rFonts w:ascii="Arial" w:hAnsi="Arial" w:cs="Arial"/>
                <w:b/>
              </w:rPr>
            </w:pPr>
            <w:proofErr w:type="spellStart"/>
            <w:r w:rsidRPr="0072000D">
              <w:rPr>
                <w:rFonts w:ascii="Arial" w:hAnsi="Arial" w:cs="Arial"/>
                <w:b/>
              </w:rPr>
              <w:t>df</w:t>
            </w:r>
            <w:proofErr w:type="spellEnd"/>
          </w:p>
        </w:tc>
        <w:tc>
          <w:tcPr>
            <w:tcW w:w="1678" w:type="dxa"/>
          </w:tcPr>
          <w:p w14:paraId="64A7D2C2" w14:textId="77777777" w:rsidR="0072000D" w:rsidRPr="0072000D" w:rsidRDefault="0072000D" w:rsidP="00C11C05">
            <w:pPr>
              <w:rPr>
                <w:rFonts w:ascii="Arial" w:hAnsi="Arial" w:cs="Arial"/>
                <w:b/>
              </w:rPr>
            </w:pPr>
            <w:r w:rsidRPr="0072000D">
              <w:rPr>
                <w:rFonts w:ascii="Arial" w:hAnsi="Arial" w:cs="Arial"/>
                <w:b/>
              </w:rPr>
              <w:t>SS</w:t>
            </w:r>
          </w:p>
        </w:tc>
        <w:tc>
          <w:tcPr>
            <w:tcW w:w="1678" w:type="dxa"/>
          </w:tcPr>
          <w:p w14:paraId="154D59FC" w14:textId="77777777" w:rsidR="0072000D" w:rsidRPr="0072000D" w:rsidRDefault="0072000D" w:rsidP="00C11C05">
            <w:pPr>
              <w:rPr>
                <w:rFonts w:ascii="Arial" w:hAnsi="Arial" w:cs="Arial"/>
                <w:b/>
              </w:rPr>
            </w:pPr>
            <w:r w:rsidRPr="0072000D">
              <w:rPr>
                <w:rFonts w:ascii="Arial" w:hAnsi="Arial" w:cs="Arial"/>
                <w:b/>
              </w:rPr>
              <w:t>MS</w:t>
            </w:r>
          </w:p>
        </w:tc>
        <w:tc>
          <w:tcPr>
            <w:tcW w:w="1678" w:type="dxa"/>
          </w:tcPr>
          <w:p w14:paraId="5381D58A" w14:textId="77777777" w:rsidR="0072000D" w:rsidRPr="0072000D" w:rsidRDefault="0072000D" w:rsidP="00C11C05">
            <w:pPr>
              <w:rPr>
                <w:rFonts w:ascii="Arial" w:hAnsi="Arial" w:cs="Arial"/>
                <w:b/>
              </w:rPr>
            </w:pPr>
            <w:r w:rsidRPr="0072000D">
              <w:rPr>
                <w:rFonts w:ascii="Arial" w:hAnsi="Arial" w:cs="Arial"/>
                <w:b/>
              </w:rPr>
              <w:t>F</w:t>
            </w:r>
          </w:p>
        </w:tc>
        <w:tc>
          <w:tcPr>
            <w:tcW w:w="1678" w:type="dxa"/>
          </w:tcPr>
          <w:p w14:paraId="36E9E36E" w14:textId="77777777" w:rsidR="0072000D" w:rsidRPr="0072000D" w:rsidRDefault="0072000D" w:rsidP="00C11C05">
            <w:pPr>
              <w:rPr>
                <w:rFonts w:ascii="Arial" w:hAnsi="Arial" w:cs="Arial"/>
                <w:b/>
              </w:rPr>
            </w:pPr>
            <w:r w:rsidRPr="0072000D">
              <w:rPr>
                <w:rFonts w:ascii="Arial" w:hAnsi="Arial" w:cs="Arial"/>
                <w:b/>
              </w:rPr>
              <w:t>p-value</w:t>
            </w:r>
          </w:p>
        </w:tc>
      </w:tr>
      <w:tr w:rsidR="0072000D" w:rsidRPr="0072000D" w14:paraId="7BB0A2B8" w14:textId="77777777" w:rsidTr="00F04899">
        <w:tc>
          <w:tcPr>
            <w:tcW w:w="1678" w:type="dxa"/>
          </w:tcPr>
          <w:p w14:paraId="72E8B177" w14:textId="77777777" w:rsidR="0072000D" w:rsidRPr="0072000D" w:rsidRDefault="0072000D" w:rsidP="00C11C05">
            <w:pPr>
              <w:rPr>
                <w:rFonts w:ascii="Arial" w:hAnsi="Arial" w:cs="Arial"/>
                <w:b/>
              </w:rPr>
            </w:pPr>
            <w:r w:rsidRPr="0072000D">
              <w:rPr>
                <w:rFonts w:ascii="Arial" w:hAnsi="Arial" w:cs="Arial"/>
                <w:b/>
              </w:rPr>
              <w:t>FADS1</w:t>
            </w:r>
          </w:p>
        </w:tc>
        <w:tc>
          <w:tcPr>
            <w:tcW w:w="1678" w:type="dxa"/>
          </w:tcPr>
          <w:p w14:paraId="63ED2175" w14:textId="77777777" w:rsidR="0072000D" w:rsidRPr="0072000D" w:rsidRDefault="0072000D" w:rsidP="00C11C05">
            <w:pPr>
              <w:rPr>
                <w:rFonts w:ascii="Arial" w:hAnsi="Arial" w:cs="Arial"/>
              </w:rPr>
            </w:pPr>
            <w:r w:rsidRPr="0072000D">
              <w:rPr>
                <w:rFonts w:ascii="Arial" w:hAnsi="Arial" w:cs="Arial"/>
              </w:rPr>
              <w:t>2</w:t>
            </w:r>
          </w:p>
        </w:tc>
        <w:tc>
          <w:tcPr>
            <w:tcW w:w="1678" w:type="dxa"/>
          </w:tcPr>
          <w:p w14:paraId="1B296FD4" w14:textId="77777777" w:rsidR="0072000D" w:rsidRPr="0072000D" w:rsidRDefault="0072000D" w:rsidP="00C11C05">
            <w:pPr>
              <w:rPr>
                <w:rFonts w:ascii="Arial" w:hAnsi="Arial" w:cs="Arial"/>
              </w:rPr>
            </w:pPr>
            <w:r w:rsidRPr="0072000D">
              <w:rPr>
                <w:rFonts w:ascii="Arial" w:hAnsi="Arial" w:cs="Arial"/>
              </w:rPr>
              <w:t>8028.94</w:t>
            </w:r>
          </w:p>
        </w:tc>
        <w:tc>
          <w:tcPr>
            <w:tcW w:w="1678" w:type="dxa"/>
          </w:tcPr>
          <w:p w14:paraId="1FB3E831" w14:textId="77777777" w:rsidR="0072000D" w:rsidRPr="0072000D" w:rsidRDefault="0072000D" w:rsidP="00C11C05">
            <w:pPr>
              <w:rPr>
                <w:rFonts w:ascii="Arial" w:hAnsi="Arial" w:cs="Arial"/>
              </w:rPr>
            </w:pPr>
            <w:r w:rsidRPr="0072000D">
              <w:rPr>
                <w:rFonts w:ascii="Arial" w:hAnsi="Arial" w:cs="Arial"/>
              </w:rPr>
              <w:t>4014.47</w:t>
            </w:r>
          </w:p>
        </w:tc>
        <w:tc>
          <w:tcPr>
            <w:tcW w:w="1678" w:type="dxa"/>
          </w:tcPr>
          <w:p w14:paraId="53DF60EA" w14:textId="77777777" w:rsidR="0072000D" w:rsidRPr="0072000D" w:rsidRDefault="0072000D" w:rsidP="00C11C05">
            <w:pPr>
              <w:rPr>
                <w:rFonts w:ascii="Arial" w:hAnsi="Arial" w:cs="Arial"/>
              </w:rPr>
            </w:pPr>
            <w:r w:rsidRPr="0072000D">
              <w:rPr>
                <w:rFonts w:ascii="Arial" w:hAnsi="Arial" w:cs="Arial"/>
              </w:rPr>
              <w:t>836.255</w:t>
            </w:r>
          </w:p>
        </w:tc>
        <w:tc>
          <w:tcPr>
            <w:tcW w:w="1678" w:type="dxa"/>
          </w:tcPr>
          <w:p w14:paraId="3B95C4EE" w14:textId="77777777" w:rsidR="0072000D" w:rsidRPr="0072000D" w:rsidRDefault="0072000D" w:rsidP="00C11C05">
            <w:pPr>
              <w:rPr>
                <w:rFonts w:ascii="Arial" w:hAnsi="Arial" w:cs="Arial"/>
              </w:rPr>
            </w:pPr>
            <w:r w:rsidRPr="0072000D">
              <w:rPr>
                <w:rFonts w:ascii="Arial" w:hAnsi="Arial" w:cs="Arial"/>
              </w:rPr>
              <w:t>&lt;0.0001</w:t>
            </w:r>
          </w:p>
        </w:tc>
      </w:tr>
      <w:tr w:rsidR="0072000D" w:rsidRPr="0072000D" w14:paraId="22F90AAF" w14:textId="77777777" w:rsidTr="00F04899">
        <w:tc>
          <w:tcPr>
            <w:tcW w:w="1678" w:type="dxa"/>
          </w:tcPr>
          <w:p w14:paraId="425F58E4" w14:textId="77777777" w:rsidR="0072000D" w:rsidRPr="0072000D" w:rsidRDefault="0072000D" w:rsidP="00C11C05">
            <w:pPr>
              <w:rPr>
                <w:rFonts w:ascii="Arial" w:hAnsi="Arial" w:cs="Arial"/>
                <w:b/>
              </w:rPr>
            </w:pPr>
            <w:r w:rsidRPr="0072000D">
              <w:rPr>
                <w:rFonts w:ascii="Arial" w:hAnsi="Arial" w:cs="Arial"/>
                <w:b/>
              </w:rPr>
              <w:t>Error</w:t>
            </w:r>
          </w:p>
        </w:tc>
        <w:tc>
          <w:tcPr>
            <w:tcW w:w="1678" w:type="dxa"/>
          </w:tcPr>
          <w:p w14:paraId="5EE1F9F8" w14:textId="77777777" w:rsidR="0072000D" w:rsidRPr="0072000D" w:rsidRDefault="0072000D" w:rsidP="00C11C05">
            <w:pPr>
              <w:rPr>
                <w:rFonts w:ascii="Arial" w:hAnsi="Arial" w:cs="Arial"/>
              </w:rPr>
            </w:pPr>
            <w:r w:rsidRPr="0072000D">
              <w:rPr>
                <w:rFonts w:ascii="Arial" w:hAnsi="Arial" w:cs="Arial"/>
              </w:rPr>
              <w:t>2642</w:t>
            </w:r>
          </w:p>
        </w:tc>
        <w:tc>
          <w:tcPr>
            <w:tcW w:w="1678" w:type="dxa"/>
          </w:tcPr>
          <w:p w14:paraId="1E3F8273" w14:textId="77777777" w:rsidR="0072000D" w:rsidRPr="0072000D" w:rsidRDefault="0072000D" w:rsidP="00C11C05">
            <w:pPr>
              <w:rPr>
                <w:rFonts w:ascii="Arial" w:hAnsi="Arial" w:cs="Arial"/>
              </w:rPr>
            </w:pPr>
            <w:r w:rsidRPr="0072000D">
              <w:rPr>
                <w:rFonts w:ascii="Arial" w:hAnsi="Arial" w:cs="Arial"/>
              </w:rPr>
              <w:t>12683.01</w:t>
            </w:r>
          </w:p>
        </w:tc>
        <w:tc>
          <w:tcPr>
            <w:tcW w:w="1678" w:type="dxa"/>
          </w:tcPr>
          <w:p w14:paraId="057C4A13" w14:textId="77777777" w:rsidR="0072000D" w:rsidRPr="0072000D" w:rsidRDefault="0072000D" w:rsidP="00C11C05">
            <w:pPr>
              <w:rPr>
                <w:rFonts w:ascii="Arial" w:hAnsi="Arial" w:cs="Arial"/>
              </w:rPr>
            </w:pPr>
            <w:r w:rsidRPr="0072000D">
              <w:rPr>
                <w:rFonts w:ascii="Arial" w:hAnsi="Arial" w:cs="Arial"/>
              </w:rPr>
              <w:t>4.80</w:t>
            </w:r>
          </w:p>
        </w:tc>
        <w:tc>
          <w:tcPr>
            <w:tcW w:w="1678" w:type="dxa"/>
          </w:tcPr>
          <w:p w14:paraId="0C327BA5" w14:textId="77777777" w:rsidR="0072000D" w:rsidRPr="0072000D" w:rsidRDefault="0072000D" w:rsidP="00C11C05">
            <w:pPr>
              <w:rPr>
                <w:rFonts w:ascii="Arial" w:hAnsi="Arial" w:cs="Arial"/>
              </w:rPr>
            </w:pPr>
          </w:p>
        </w:tc>
        <w:tc>
          <w:tcPr>
            <w:tcW w:w="1678" w:type="dxa"/>
          </w:tcPr>
          <w:p w14:paraId="07BE1A06" w14:textId="77777777" w:rsidR="0072000D" w:rsidRPr="0072000D" w:rsidRDefault="0072000D" w:rsidP="00C11C05">
            <w:pPr>
              <w:rPr>
                <w:rFonts w:ascii="Arial" w:hAnsi="Arial" w:cs="Arial"/>
              </w:rPr>
            </w:pPr>
          </w:p>
        </w:tc>
      </w:tr>
      <w:tr w:rsidR="0072000D" w:rsidRPr="0072000D" w14:paraId="7F2B322F" w14:textId="77777777" w:rsidTr="00F04899">
        <w:tc>
          <w:tcPr>
            <w:tcW w:w="1678" w:type="dxa"/>
          </w:tcPr>
          <w:p w14:paraId="471B9F62" w14:textId="77777777" w:rsidR="0072000D" w:rsidRPr="0072000D" w:rsidRDefault="0072000D" w:rsidP="00C11C05">
            <w:pPr>
              <w:rPr>
                <w:rFonts w:ascii="Arial" w:hAnsi="Arial" w:cs="Arial"/>
                <w:b/>
              </w:rPr>
            </w:pPr>
            <w:r w:rsidRPr="0072000D">
              <w:rPr>
                <w:rFonts w:ascii="Arial" w:hAnsi="Arial" w:cs="Arial"/>
                <w:b/>
              </w:rPr>
              <w:t>Total</w:t>
            </w:r>
          </w:p>
        </w:tc>
        <w:tc>
          <w:tcPr>
            <w:tcW w:w="1678" w:type="dxa"/>
          </w:tcPr>
          <w:p w14:paraId="09BE5B35" w14:textId="77777777" w:rsidR="0072000D" w:rsidRPr="0072000D" w:rsidRDefault="0072000D" w:rsidP="00C11C05">
            <w:pPr>
              <w:rPr>
                <w:rFonts w:ascii="Arial" w:hAnsi="Arial" w:cs="Arial"/>
              </w:rPr>
            </w:pPr>
            <w:r w:rsidRPr="0072000D">
              <w:rPr>
                <w:rFonts w:ascii="Arial" w:hAnsi="Arial" w:cs="Arial"/>
              </w:rPr>
              <w:t>2644</w:t>
            </w:r>
          </w:p>
        </w:tc>
        <w:tc>
          <w:tcPr>
            <w:tcW w:w="1678" w:type="dxa"/>
          </w:tcPr>
          <w:p w14:paraId="66BDA33E" w14:textId="77777777" w:rsidR="0072000D" w:rsidRPr="0072000D" w:rsidRDefault="0072000D" w:rsidP="00C11C05">
            <w:pPr>
              <w:rPr>
                <w:rFonts w:ascii="Arial" w:hAnsi="Arial" w:cs="Arial"/>
              </w:rPr>
            </w:pPr>
            <w:r w:rsidRPr="0072000D">
              <w:rPr>
                <w:rFonts w:ascii="Arial" w:hAnsi="Arial" w:cs="Arial"/>
              </w:rPr>
              <w:t>20711.95</w:t>
            </w:r>
          </w:p>
        </w:tc>
        <w:tc>
          <w:tcPr>
            <w:tcW w:w="1678" w:type="dxa"/>
          </w:tcPr>
          <w:p w14:paraId="142C7B0F" w14:textId="77777777" w:rsidR="0072000D" w:rsidRPr="0072000D" w:rsidRDefault="0072000D" w:rsidP="00C11C05">
            <w:pPr>
              <w:rPr>
                <w:rFonts w:ascii="Arial" w:hAnsi="Arial" w:cs="Arial"/>
              </w:rPr>
            </w:pPr>
          </w:p>
        </w:tc>
        <w:tc>
          <w:tcPr>
            <w:tcW w:w="1678" w:type="dxa"/>
          </w:tcPr>
          <w:p w14:paraId="0979B9C1" w14:textId="77777777" w:rsidR="0072000D" w:rsidRPr="0072000D" w:rsidRDefault="0072000D" w:rsidP="00C11C05">
            <w:pPr>
              <w:rPr>
                <w:rFonts w:ascii="Arial" w:hAnsi="Arial" w:cs="Arial"/>
              </w:rPr>
            </w:pPr>
          </w:p>
        </w:tc>
        <w:tc>
          <w:tcPr>
            <w:tcW w:w="1678" w:type="dxa"/>
          </w:tcPr>
          <w:p w14:paraId="1DD7E9A5" w14:textId="77777777" w:rsidR="0072000D" w:rsidRPr="0072000D" w:rsidRDefault="0072000D" w:rsidP="00C11C05">
            <w:pPr>
              <w:rPr>
                <w:rFonts w:ascii="Arial" w:hAnsi="Arial" w:cs="Arial"/>
              </w:rPr>
            </w:pPr>
          </w:p>
        </w:tc>
      </w:tr>
    </w:tbl>
    <w:p w14:paraId="37312DB6" w14:textId="77777777" w:rsidR="0072000D" w:rsidRPr="0072000D" w:rsidRDefault="0072000D" w:rsidP="0072000D"/>
    <w:p w14:paraId="74B363AC" w14:textId="77777777" w:rsidR="00CC273F" w:rsidRDefault="00CC273F">
      <w:r>
        <w:t>However, when we contrast this with the linear model (see Table 4), the F statistic is higher. In this case, it doesn’t matter much in terms of statistical significance, however in some cases it could.</w:t>
      </w:r>
    </w:p>
    <w:p w14:paraId="2103C568" w14:textId="77777777" w:rsidR="00CC273F" w:rsidRDefault="00CC273F"/>
    <w:p w14:paraId="28B8ED71" w14:textId="77777777" w:rsidR="00CC273F" w:rsidRDefault="00CC273F"/>
    <w:p w14:paraId="5979C68A" w14:textId="77777777" w:rsidR="00CC273F" w:rsidRDefault="00CC273F"/>
    <w:p w14:paraId="2FC288B5" w14:textId="77777777" w:rsidR="00CC273F" w:rsidRDefault="00CC273F"/>
    <w:p w14:paraId="550342CC" w14:textId="77777777" w:rsidR="00CC273F" w:rsidRDefault="00CC273F"/>
    <w:p w14:paraId="79266B0A" w14:textId="77777777" w:rsidR="00CC273F" w:rsidRPr="00296615" w:rsidRDefault="00CC273F" w:rsidP="00CC273F">
      <w:r w:rsidRPr="00296615">
        <w:rPr>
          <w:b/>
        </w:rPr>
        <w:t xml:space="preserve">Table </w:t>
      </w:r>
      <w:r>
        <w:rPr>
          <w:b/>
        </w:rPr>
        <w:t>4</w:t>
      </w:r>
      <w:r w:rsidRPr="00296615">
        <w:rPr>
          <w:b/>
        </w:rPr>
        <w:t xml:space="preserve">. Analysis of variance </w:t>
      </w:r>
      <w:r>
        <w:rPr>
          <w:b/>
        </w:rPr>
        <w:t>table for linear regression model</w:t>
      </w:r>
    </w:p>
    <w:p w14:paraId="51E56427" w14:textId="77777777" w:rsidR="00CC273F" w:rsidRPr="0072000D" w:rsidRDefault="00CC273F" w:rsidP="00CC273F"/>
    <w:tbl>
      <w:tblPr>
        <w:tblStyle w:val="TableGrid"/>
        <w:tblW w:w="0" w:type="auto"/>
        <w:tblLook w:val="04A0" w:firstRow="1" w:lastRow="0" w:firstColumn="1" w:lastColumn="0" w:noHBand="0" w:noVBand="1"/>
      </w:tblPr>
      <w:tblGrid>
        <w:gridCol w:w="1678"/>
        <w:gridCol w:w="1678"/>
        <w:gridCol w:w="1678"/>
        <w:gridCol w:w="1678"/>
        <w:gridCol w:w="1678"/>
        <w:gridCol w:w="1678"/>
      </w:tblGrid>
      <w:tr w:rsidR="00CC273F" w:rsidRPr="0072000D" w14:paraId="55D3C503" w14:textId="77777777" w:rsidTr="00C11C05">
        <w:tc>
          <w:tcPr>
            <w:tcW w:w="1678" w:type="dxa"/>
          </w:tcPr>
          <w:p w14:paraId="68402061" w14:textId="77777777" w:rsidR="00CC273F" w:rsidRPr="0072000D" w:rsidRDefault="00CC273F" w:rsidP="00C11C05">
            <w:pPr>
              <w:rPr>
                <w:rFonts w:ascii="Arial" w:hAnsi="Arial" w:cs="Arial"/>
                <w:b/>
              </w:rPr>
            </w:pPr>
            <w:r w:rsidRPr="0072000D">
              <w:rPr>
                <w:rFonts w:ascii="Arial" w:hAnsi="Arial" w:cs="Arial"/>
                <w:b/>
              </w:rPr>
              <w:t>Source</w:t>
            </w:r>
          </w:p>
        </w:tc>
        <w:tc>
          <w:tcPr>
            <w:tcW w:w="1678" w:type="dxa"/>
          </w:tcPr>
          <w:p w14:paraId="7F271EDF" w14:textId="77777777" w:rsidR="00CC273F" w:rsidRPr="0072000D" w:rsidRDefault="00CC273F" w:rsidP="00C11C05">
            <w:pPr>
              <w:rPr>
                <w:rFonts w:ascii="Arial" w:hAnsi="Arial" w:cs="Arial"/>
                <w:b/>
              </w:rPr>
            </w:pPr>
            <w:proofErr w:type="spellStart"/>
            <w:r w:rsidRPr="0072000D">
              <w:rPr>
                <w:rFonts w:ascii="Arial" w:hAnsi="Arial" w:cs="Arial"/>
                <w:b/>
              </w:rPr>
              <w:t>df</w:t>
            </w:r>
            <w:proofErr w:type="spellEnd"/>
          </w:p>
        </w:tc>
        <w:tc>
          <w:tcPr>
            <w:tcW w:w="1678" w:type="dxa"/>
          </w:tcPr>
          <w:p w14:paraId="1AD857F6" w14:textId="77777777" w:rsidR="00CC273F" w:rsidRPr="0072000D" w:rsidRDefault="00CC273F" w:rsidP="00C11C05">
            <w:pPr>
              <w:rPr>
                <w:rFonts w:ascii="Arial" w:hAnsi="Arial" w:cs="Arial"/>
                <w:b/>
              </w:rPr>
            </w:pPr>
            <w:r w:rsidRPr="0072000D">
              <w:rPr>
                <w:rFonts w:ascii="Arial" w:hAnsi="Arial" w:cs="Arial"/>
                <w:b/>
              </w:rPr>
              <w:t>SS</w:t>
            </w:r>
          </w:p>
        </w:tc>
        <w:tc>
          <w:tcPr>
            <w:tcW w:w="1678" w:type="dxa"/>
          </w:tcPr>
          <w:p w14:paraId="78B33116" w14:textId="77777777" w:rsidR="00CC273F" w:rsidRPr="0072000D" w:rsidRDefault="00CC273F" w:rsidP="00C11C05">
            <w:pPr>
              <w:rPr>
                <w:rFonts w:ascii="Arial" w:hAnsi="Arial" w:cs="Arial"/>
                <w:b/>
              </w:rPr>
            </w:pPr>
            <w:r w:rsidRPr="0072000D">
              <w:rPr>
                <w:rFonts w:ascii="Arial" w:hAnsi="Arial" w:cs="Arial"/>
                <w:b/>
              </w:rPr>
              <w:t>MS</w:t>
            </w:r>
          </w:p>
        </w:tc>
        <w:tc>
          <w:tcPr>
            <w:tcW w:w="1678" w:type="dxa"/>
          </w:tcPr>
          <w:p w14:paraId="0D6F0617" w14:textId="77777777" w:rsidR="00CC273F" w:rsidRPr="0072000D" w:rsidRDefault="00CC273F" w:rsidP="00C11C05">
            <w:pPr>
              <w:rPr>
                <w:rFonts w:ascii="Arial" w:hAnsi="Arial" w:cs="Arial"/>
                <w:b/>
              </w:rPr>
            </w:pPr>
            <w:r w:rsidRPr="0072000D">
              <w:rPr>
                <w:rFonts w:ascii="Arial" w:hAnsi="Arial" w:cs="Arial"/>
                <w:b/>
              </w:rPr>
              <w:t>F</w:t>
            </w:r>
          </w:p>
        </w:tc>
        <w:tc>
          <w:tcPr>
            <w:tcW w:w="1678" w:type="dxa"/>
          </w:tcPr>
          <w:p w14:paraId="774965D0" w14:textId="77777777" w:rsidR="00CC273F" w:rsidRPr="0072000D" w:rsidRDefault="00CC273F" w:rsidP="00C11C05">
            <w:pPr>
              <w:rPr>
                <w:rFonts w:ascii="Arial" w:hAnsi="Arial" w:cs="Arial"/>
                <w:b/>
              </w:rPr>
            </w:pPr>
            <w:r w:rsidRPr="0072000D">
              <w:rPr>
                <w:rFonts w:ascii="Arial" w:hAnsi="Arial" w:cs="Arial"/>
                <w:b/>
              </w:rPr>
              <w:t>p-value</w:t>
            </w:r>
          </w:p>
        </w:tc>
      </w:tr>
      <w:tr w:rsidR="00CC273F" w:rsidRPr="0072000D" w14:paraId="0F32252C" w14:textId="77777777" w:rsidTr="00C11C05">
        <w:tc>
          <w:tcPr>
            <w:tcW w:w="1678" w:type="dxa"/>
          </w:tcPr>
          <w:p w14:paraId="3839E606" w14:textId="77777777" w:rsidR="00CC273F" w:rsidRPr="0072000D" w:rsidRDefault="00CC273F" w:rsidP="00C11C05">
            <w:pPr>
              <w:rPr>
                <w:rFonts w:ascii="Arial" w:hAnsi="Arial" w:cs="Arial"/>
                <w:b/>
              </w:rPr>
            </w:pPr>
            <w:r w:rsidRPr="0072000D">
              <w:rPr>
                <w:rFonts w:ascii="Arial" w:hAnsi="Arial" w:cs="Arial"/>
                <w:b/>
              </w:rPr>
              <w:t>FADS1</w:t>
            </w:r>
          </w:p>
        </w:tc>
        <w:tc>
          <w:tcPr>
            <w:tcW w:w="1678" w:type="dxa"/>
          </w:tcPr>
          <w:p w14:paraId="203A372B" w14:textId="77777777" w:rsidR="00CC273F" w:rsidRPr="0072000D" w:rsidRDefault="00CC273F" w:rsidP="00C11C05">
            <w:pPr>
              <w:rPr>
                <w:rFonts w:ascii="Arial" w:hAnsi="Arial" w:cs="Arial"/>
              </w:rPr>
            </w:pPr>
            <w:r>
              <w:rPr>
                <w:rFonts w:ascii="Arial" w:hAnsi="Arial" w:cs="Arial"/>
              </w:rPr>
              <w:t>1</w:t>
            </w:r>
          </w:p>
        </w:tc>
        <w:tc>
          <w:tcPr>
            <w:tcW w:w="1678" w:type="dxa"/>
          </w:tcPr>
          <w:p w14:paraId="74632EEE" w14:textId="77777777" w:rsidR="00CC273F" w:rsidRPr="0072000D" w:rsidRDefault="00CC273F" w:rsidP="00C11C05">
            <w:pPr>
              <w:rPr>
                <w:rFonts w:ascii="Arial" w:hAnsi="Arial" w:cs="Arial"/>
              </w:rPr>
            </w:pPr>
            <w:r>
              <w:rPr>
                <w:rFonts w:ascii="Arial" w:hAnsi="Arial" w:cs="Arial"/>
              </w:rPr>
              <w:t>8027.88</w:t>
            </w:r>
          </w:p>
        </w:tc>
        <w:tc>
          <w:tcPr>
            <w:tcW w:w="1678" w:type="dxa"/>
          </w:tcPr>
          <w:p w14:paraId="1C0C5726" w14:textId="77777777" w:rsidR="00CC273F" w:rsidRPr="0072000D" w:rsidRDefault="00CC273F" w:rsidP="00C11C05">
            <w:pPr>
              <w:rPr>
                <w:rFonts w:ascii="Arial" w:hAnsi="Arial" w:cs="Arial"/>
              </w:rPr>
            </w:pPr>
            <w:r>
              <w:rPr>
                <w:rFonts w:ascii="Arial" w:hAnsi="Arial" w:cs="Arial"/>
              </w:rPr>
              <w:t>8027.88</w:t>
            </w:r>
          </w:p>
        </w:tc>
        <w:tc>
          <w:tcPr>
            <w:tcW w:w="1678" w:type="dxa"/>
          </w:tcPr>
          <w:p w14:paraId="20781BDB" w14:textId="77777777" w:rsidR="00CC273F" w:rsidRPr="0072000D" w:rsidRDefault="00CC273F" w:rsidP="00C11C05">
            <w:pPr>
              <w:rPr>
                <w:rFonts w:ascii="Arial" w:hAnsi="Arial" w:cs="Arial"/>
              </w:rPr>
            </w:pPr>
            <w:r>
              <w:rPr>
                <w:rFonts w:ascii="Arial" w:hAnsi="Arial" w:cs="Arial"/>
              </w:rPr>
              <w:t>1672.82</w:t>
            </w:r>
          </w:p>
        </w:tc>
        <w:tc>
          <w:tcPr>
            <w:tcW w:w="1678" w:type="dxa"/>
          </w:tcPr>
          <w:p w14:paraId="3AD16C3D" w14:textId="77777777" w:rsidR="00CC273F" w:rsidRPr="0072000D" w:rsidRDefault="00CC273F" w:rsidP="00C11C05">
            <w:pPr>
              <w:rPr>
                <w:rFonts w:ascii="Arial" w:hAnsi="Arial" w:cs="Arial"/>
              </w:rPr>
            </w:pPr>
            <w:r w:rsidRPr="0072000D">
              <w:rPr>
                <w:rFonts w:ascii="Arial" w:hAnsi="Arial" w:cs="Arial"/>
              </w:rPr>
              <w:t>&lt;0.0001</w:t>
            </w:r>
          </w:p>
        </w:tc>
      </w:tr>
      <w:tr w:rsidR="00CC273F" w:rsidRPr="0072000D" w14:paraId="15EF26C9" w14:textId="77777777" w:rsidTr="00C11C05">
        <w:tc>
          <w:tcPr>
            <w:tcW w:w="1678" w:type="dxa"/>
          </w:tcPr>
          <w:p w14:paraId="11C8C7A1" w14:textId="77777777" w:rsidR="00CC273F" w:rsidRPr="0072000D" w:rsidRDefault="00CC273F" w:rsidP="00C11C05">
            <w:pPr>
              <w:rPr>
                <w:rFonts w:ascii="Arial" w:hAnsi="Arial" w:cs="Arial"/>
                <w:b/>
              </w:rPr>
            </w:pPr>
            <w:r w:rsidRPr="0072000D">
              <w:rPr>
                <w:rFonts w:ascii="Arial" w:hAnsi="Arial" w:cs="Arial"/>
                <w:b/>
              </w:rPr>
              <w:t>Error</w:t>
            </w:r>
          </w:p>
        </w:tc>
        <w:tc>
          <w:tcPr>
            <w:tcW w:w="1678" w:type="dxa"/>
          </w:tcPr>
          <w:p w14:paraId="5E9F1945" w14:textId="77777777" w:rsidR="00CC273F" w:rsidRPr="0072000D" w:rsidRDefault="00CC273F" w:rsidP="00C11C05">
            <w:pPr>
              <w:rPr>
                <w:rFonts w:ascii="Arial" w:hAnsi="Arial" w:cs="Arial"/>
              </w:rPr>
            </w:pPr>
            <w:r>
              <w:rPr>
                <w:rFonts w:ascii="Arial" w:hAnsi="Arial" w:cs="Arial"/>
              </w:rPr>
              <w:t>2643</w:t>
            </w:r>
          </w:p>
        </w:tc>
        <w:tc>
          <w:tcPr>
            <w:tcW w:w="1678" w:type="dxa"/>
          </w:tcPr>
          <w:p w14:paraId="1899453C" w14:textId="77777777" w:rsidR="00CC273F" w:rsidRPr="0072000D" w:rsidRDefault="00CC273F" w:rsidP="00C11C05">
            <w:pPr>
              <w:rPr>
                <w:rFonts w:ascii="Arial" w:hAnsi="Arial" w:cs="Arial"/>
              </w:rPr>
            </w:pPr>
            <w:r>
              <w:rPr>
                <w:rFonts w:ascii="Arial" w:hAnsi="Arial" w:cs="Arial"/>
              </w:rPr>
              <w:t>12684,07</w:t>
            </w:r>
          </w:p>
        </w:tc>
        <w:tc>
          <w:tcPr>
            <w:tcW w:w="1678" w:type="dxa"/>
          </w:tcPr>
          <w:p w14:paraId="4B01C81E" w14:textId="77777777" w:rsidR="00CC273F" w:rsidRPr="0072000D" w:rsidRDefault="00CC273F" w:rsidP="00C11C05">
            <w:pPr>
              <w:rPr>
                <w:rFonts w:ascii="Arial" w:hAnsi="Arial" w:cs="Arial"/>
              </w:rPr>
            </w:pPr>
            <w:r>
              <w:rPr>
                <w:rFonts w:ascii="Arial" w:hAnsi="Arial" w:cs="Arial"/>
              </w:rPr>
              <w:t>4.799</w:t>
            </w:r>
          </w:p>
        </w:tc>
        <w:tc>
          <w:tcPr>
            <w:tcW w:w="1678" w:type="dxa"/>
          </w:tcPr>
          <w:p w14:paraId="1E66FF04" w14:textId="77777777" w:rsidR="00CC273F" w:rsidRPr="0072000D" w:rsidRDefault="00CC273F" w:rsidP="00C11C05">
            <w:pPr>
              <w:rPr>
                <w:rFonts w:ascii="Arial" w:hAnsi="Arial" w:cs="Arial"/>
              </w:rPr>
            </w:pPr>
          </w:p>
        </w:tc>
        <w:tc>
          <w:tcPr>
            <w:tcW w:w="1678" w:type="dxa"/>
          </w:tcPr>
          <w:p w14:paraId="7052074E" w14:textId="77777777" w:rsidR="00CC273F" w:rsidRPr="0072000D" w:rsidRDefault="00CC273F" w:rsidP="00C11C05">
            <w:pPr>
              <w:rPr>
                <w:rFonts w:ascii="Arial" w:hAnsi="Arial" w:cs="Arial"/>
              </w:rPr>
            </w:pPr>
          </w:p>
        </w:tc>
      </w:tr>
      <w:tr w:rsidR="00CC273F" w:rsidRPr="0072000D" w14:paraId="1C7A8301" w14:textId="77777777" w:rsidTr="00C11C05">
        <w:tc>
          <w:tcPr>
            <w:tcW w:w="1678" w:type="dxa"/>
          </w:tcPr>
          <w:p w14:paraId="12AFB2C8" w14:textId="77777777" w:rsidR="00CC273F" w:rsidRPr="0072000D" w:rsidRDefault="00CC273F" w:rsidP="00C11C05">
            <w:pPr>
              <w:rPr>
                <w:rFonts w:ascii="Arial" w:hAnsi="Arial" w:cs="Arial"/>
                <w:b/>
              </w:rPr>
            </w:pPr>
            <w:r w:rsidRPr="0072000D">
              <w:rPr>
                <w:rFonts w:ascii="Arial" w:hAnsi="Arial" w:cs="Arial"/>
                <w:b/>
              </w:rPr>
              <w:t>Total</w:t>
            </w:r>
          </w:p>
        </w:tc>
        <w:tc>
          <w:tcPr>
            <w:tcW w:w="1678" w:type="dxa"/>
          </w:tcPr>
          <w:p w14:paraId="796A5A40" w14:textId="77777777" w:rsidR="00CC273F" w:rsidRPr="0072000D" w:rsidRDefault="00CC273F" w:rsidP="00C11C05">
            <w:pPr>
              <w:rPr>
                <w:rFonts w:ascii="Arial" w:hAnsi="Arial" w:cs="Arial"/>
              </w:rPr>
            </w:pPr>
            <w:r w:rsidRPr="0072000D">
              <w:rPr>
                <w:rFonts w:ascii="Arial" w:hAnsi="Arial" w:cs="Arial"/>
              </w:rPr>
              <w:t>2644</w:t>
            </w:r>
          </w:p>
        </w:tc>
        <w:tc>
          <w:tcPr>
            <w:tcW w:w="1678" w:type="dxa"/>
          </w:tcPr>
          <w:p w14:paraId="001540EA" w14:textId="77777777" w:rsidR="00CC273F" w:rsidRPr="0072000D" w:rsidRDefault="00CC273F" w:rsidP="00C11C05">
            <w:pPr>
              <w:rPr>
                <w:rFonts w:ascii="Arial" w:hAnsi="Arial" w:cs="Arial"/>
              </w:rPr>
            </w:pPr>
            <w:r w:rsidRPr="0072000D">
              <w:rPr>
                <w:rFonts w:ascii="Arial" w:hAnsi="Arial" w:cs="Arial"/>
              </w:rPr>
              <w:t>20711.95</w:t>
            </w:r>
          </w:p>
        </w:tc>
        <w:tc>
          <w:tcPr>
            <w:tcW w:w="1678" w:type="dxa"/>
          </w:tcPr>
          <w:p w14:paraId="4A6807A1" w14:textId="77777777" w:rsidR="00CC273F" w:rsidRPr="0072000D" w:rsidRDefault="00CC273F" w:rsidP="00C11C05">
            <w:pPr>
              <w:rPr>
                <w:rFonts w:ascii="Arial" w:hAnsi="Arial" w:cs="Arial"/>
              </w:rPr>
            </w:pPr>
          </w:p>
        </w:tc>
        <w:tc>
          <w:tcPr>
            <w:tcW w:w="1678" w:type="dxa"/>
          </w:tcPr>
          <w:p w14:paraId="13F9954B" w14:textId="77777777" w:rsidR="00CC273F" w:rsidRPr="0072000D" w:rsidRDefault="00CC273F" w:rsidP="00C11C05">
            <w:pPr>
              <w:rPr>
                <w:rFonts w:ascii="Arial" w:hAnsi="Arial" w:cs="Arial"/>
              </w:rPr>
            </w:pPr>
          </w:p>
        </w:tc>
        <w:tc>
          <w:tcPr>
            <w:tcW w:w="1678" w:type="dxa"/>
          </w:tcPr>
          <w:p w14:paraId="68E10B47" w14:textId="77777777" w:rsidR="00CC273F" w:rsidRPr="0072000D" w:rsidRDefault="00CC273F" w:rsidP="00C11C05">
            <w:pPr>
              <w:rPr>
                <w:rFonts w:ascii="Arial" w:hAnsi="Arial" w:cs="Arial"/>
              </w:rPr>
            </w:pPr>
          </w:p>
        </w:tc>
      </w:tr>
    </w:tbl>
    <w:p w14:paraId="23007988" w14:textId="77777777" w:rsidR="00CC273F" w:rsidRPr="00CC273F" w:rsidRDefault="00CC273F" w:rsidP="00CC273F"/>
    <w:tbl>
      <w:tblPr>
        <w:tblStyle w:val="TableGrid"/>
        <w:tblW w:w="0" w:type="auto"/>
        <w:tblLook w:val="04A0" w:firstRow="1" w:lastRow="0" w:firstColumn="1" w:lastColumn="0" w:noHBand="0" w:noVBand="1"/>
      </w:tblPr>
      <w:tblGrid>
        <w:gridCol w:w="10070"/>
      </w:tblGrid>
      <w:tr w:rsidR="00CC273F" w:rsidRPr="00CC273F" w14:paraId="7FCCDBFF" w14:textId="77777777" w:rsidTr="00CC273F">
        <w:tc>
          <w:tcPr>
            <w:tcW w:w="10070" w:type="dxa"/>
          </w:tcPr>
          <w:p w14:paraId="64432AC6" w14:textId="77777777" w:rsidR="00CC273F" w:rsidRPr="00CC273F" w:rsidRDefault="00CC273F">
            <w:pPr>
              <w:rPr>
                <w:rFonts w:ascii="Arial" w:hAnsi="Arial" w:cs="Arial"/>
                <w:sz w:val="24"/>
                <w:szCs w:val="24"/>
              </w:rPr>
            </w:pPr>
            <w:r w:rsidRPr="00CC273F">
              <w:rPr>
                <w:rFonts w:ascii="Arial" w:hAnsi="Arial" w:cs="Arial"/>
                <w:b/>
                <w:sz w:val="24"/>
                <w:szCs w:val="24"/>
              </w:rPr>
              <w:t>Think about it:</w:t>
            </w:r>
            <w:r w:rsidRPr="00CC273F">
              <w:rPr>
                <w:rFonts w:ascii="Arial" w:hAnsi="Arial" w:cs="Arial"/>
                <w:sz w:val="24"/>
                <w:szCs w:val="24"/>
              </w:rPr>
              <w:t xml:space="preserve"> Why is the F-statistic larger for the linear model?</w:t>
            </w:r>
          </w:p>
        </w:tc>
      </w:tr>
    </w:tbl>
    <w:p w14:paraId="7120BF51" w14:textId="77777777" w:rsidR="00CC273F" w:rsidRPr="00CC273F" w:rsidRDefault="00CC273F"/>
    <w:p w14:paraId="10588608" w14:textId="77777777" w:rsidR="00CC273F" w:rsidRDefault="00CC273F">
      <w:r w:rsidRPr="00CC273F">
        <w:t xml:space="preserve">The F-statistic is larger </w:t>
      </w:r>
      <w:r>
        <w:t xml:space="preserve">for the linear </w:t>
      </w:r>
      <w:r w:rsidRPr="00CC273F">
        <w:t xml:space="preserve">because the </w:t>
      </w:r>
      <w:r>
        <w:t xml:space="preserve">model is simpler. Statistically, the more complex your model is the you more you ‘pay’ ---sometimes the extra complexity is worth it because you explain a lot more variation. However, sometimes the extra complexity isn’t worth it because you don’t explain a lot more variation. This is the case here. </w:t>
      </w:r>
    </w:p>
    <w:p w14:paraId="2F1AA145" w14:textId="77777777" w:rsidR="00CC273F" w:rsidRDefault="00CC273F"/>
    <w:p w14:paraId="2BA9AF08" w14:textId="77777777" w:rsidR="00CC273F" w:rsidRPr="00CC273F" w:rsidRDefault="00CC273F">
      <w:pPr>
        <w:rPr>
          <w:b/>
        </w:rPr>
      </w:pPr>
      <w:r w:rsidRPr="00CC273F">
        <w:rPr>
          <w:b/>
        </w:rPr>
        <w:t>Extensions</w:t>
      </w:r>
      <w:r>
        <w:rPr>
          <w:b/>
        </w:rPr>
        <w:t xml:space="preserve"> we anticipate developing</w:t>
      </w:r>
    </w:p>
    <w:p w14:paraId="27AC8D04" w14:textId="77777777" w:rsidR="00CC273F" w:rsidRPr="00CC273F" w:rsidRDefault="00CC273F" w:rsidP="00CC273F">
      <w:pPr>
        <w:pStyle w:val="ListParagraph"/>
        <w:numPr>
          <w:ilvl w:val="0"/>
          <w:numId w:val="4"/>
        </w:numPr>
        <w:rPr>
          <w:rFonts w:ascii="Arial" w:hAnsi="Arial" w:cs="Arial"/>
        </w:rPr>
      </w:pPr>
      <w:r w:rsidRPr="00CC273F">
        <w:rPr>
          <w:rFonts w:ascii="Arial" w:hAnsi="Arial" w:cs="Arial"/>
        </w:rPr>
        <w:t>Testing hardy-</w:t>
      </w:r>
      <w:proofErr w:type="spellStart"/>
      <w:r w:rsidRPr="00CC273F">
        <w:rPr>
          <w:rFonts w:ascii="Arial" w:hAnsi="Arial" w:cs="Arial"/>
        </w:rPr>
        <w:t>weinberg</w:t>
      </w:r>
      <w:proofErr w:type="spellEnd"/>
      <w:r w:rsidRPr="00CC273F">
        <w:rPr>
          <w:rFonts w:ascii="Arial" w:hAnsi="Arial" w:cs="Arial"/>
        </w:rPr>
        <w:t xml:space="preserve"> equilibrium with this data using a chi-square GOF</w:t>
      </w:r>
    </w:p>
    <w:p w14:paraId="21AA9464" w14:textId="77777777" w:rsidR="00CC273F" w:rsidRPr="00CC273F" w:rsidRDefault="00CC273F" w:rsidP="00CC273F">
      <w:pPr>
        <w:pStyle w:val="ListParagraph"/>
        <w:numPr>
          <w:ilvl w:val="0"/>
          <w:numId w:val="4"/>
        </w:numPr>
        <w:rPr>
          <w:rFonts w:ascii="Arial" w:hAnsi="Arial" w:cs="Arial"/>
        </w:rPr>
      </w:pPr>
      <w:r w:rsidRPr="00CC273F">
        <w:rPr>
          <w:rFonts w:ascii="Arial" w:hAnsi="Arial" w:cs="Arial"/>
        </w:rPr>
        <w:t>Using simulation to model null distributions</w:t>
      </w:r>
      <w:r>
        <w:rPr>
          <w:rFonts w:ascii="Arial" w:hAnsi="Arial" w:cs="Arial"/>
        </w:rPr>
        <w:t>/having students brainstorm the statistics to evaluate different hypotheses and understand the more ‘restrictive’ null for the linear model</w:t>
      </w:r>
    </w:p>
    <w:p w14:paraId="280B942D" w14:textId="77777777" w:rsidR="00CC273F" w:rsidRPr="00CC273F" w:rsidRDefault="00CC273F" w:rsidP="00CC273F">
      <w:pPr>
        <w:pStyle w:val="ListParagraph"/>
        <w:numPr>
          <w:ilvl w:val="0"/>
          <w:numId w:val="4"/>
        </w:numPr>
        <w:rPr>
          <w:rFonts w:ascii="Arial" w:hAnsi="Arial" w:cs="Arial"/>
        </w:rPr>
      </w:pPr>
      <w:r w:rsidRPr="00CC273F">
        <w:rPr>
          <w:rFonts w:ascii="Arial" w:hAnsi="Arial" w:cs="Arial"/>
        </w:rPr>
        <w:t>Evaluating a gene-diet interaction (see below for quick synopsis)</w:t>
      </w:r>
      <w:r w:rsidR="005739CE">
        <w:rPr>
          <w:rFonts w:ascii="Arial" w:hAnsi="Arial" w:cs="Arial"/>
        </w:rPr>
        <w:t xml:space="preserve"> using a two-variable, interaction model.</w:t>
      </w:r>
    </w:p>
    <w:p w14:paraId="5F403FA3" w14:textId="77777777" w:rsidR="00CC273F" w:rsidRPr="00CC273F" w:rsidRDefault="00CC273F" w:rsidP="00CC273F"/>
    <w:p w14:paraId="3ED64062" w14:textId="77777777" w:rsidR="00CC273F" w:rsidRPr="00CC273F" w:rsidRDefault="00CC273F" w:rsidP="00CC273F">
      <w:pPr>
        <w:rPr>
          <w:b/>
        </w:rPr>
      </w:pPr>
      <w:r w:rsidRPr="00CC273F">
        <w:rPr>
          <w:b/>
        </w:rPr>
        <w:t>Potential extension</w:t>
      </w:r>
    </w:p>
    <w:p w14:paraId="3C70C638" w14:textId="77777777" w:rsidR="00CC273F" w:rsidRDefault="00CC273F" w:rsidP="00CC273F">
      <w:r>
        <w:t>Fractional shortening is associated with reduced heart function. We found a significant statistical interaction between genetic variation in the FFAR4 gene and the fatty acid EPA on fractional shortening values within the Framingham Heart Study.</w:t>
      </w:r>
    </w:p>
    <w:p w14:paraId="4D712B48" w14:textId="77777777" w:rsidR="00CC273F" w:rsidRPr="00CC273F" w:rsidRDefault="00CC273F" w:rsidP="00CC273F">
      <w:r>
        <w:rPr>
          <w:noProof/>
        </w:rPr>
        <w:drawing>
          <wp:inline distT="0" distB="0" distL="0" distR="0" wp14:anchorId="3A9F332F" wp14:editId="087B706A">
            <wp:extent cx="5017273" cy="3116580"/>
            <wp:effectExtent l="0" t="0" r="1206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CC273F" w:rsidRPr="00CC273F" w:rsidSect="005D64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5B1"/>
    <w:multiLevelType w:val="hybridMultilevel"/>
    <w:tmpl w:val="517ED04E"/>
    <w:lvl w:ilvl="0" w:tplc="79CE559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B6CF6"/>
    <w:multiLevelType w:val="hybridMultilevel"/>
    <w:tmpl w:val="AEE0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D94CA2"/>
    <w:multiLevelType w:val="hybridMultilevel"/>
    <w:tmpl w:val="317C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185DD1"/>
    <w:multiLevelType w:val="hybridMultilevel"/>
    <w:tmpl w:val="3E3CF76C"/>
    <w:lvl w:ilvl="0" w:tplc="70643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47"/>
    <w:rsid w:val="00084C46"/>
    <w:rsid w:val="000B6492"/>
    <w:rsid w:val="00177D94"/>
    <w:rsid w:val="001802D3"/>
    <w:rsid w:val="0019187B"/>
    <w:rsid w:val="001A3130"/>
    <w:rsid w:val="001B025D"/>
    <w:rsid w:val="001E45E5"/>
    <w:rsid w:val="00264BC3"/>
    <w:rsid w:val="0028183F"/>
    <w:rsid w:val="00295B19"/>
    <w:rsid w:val="00296615"/>
    <w:rsid w:val="002D78E3"/>
    <w:rsid w:val="0041255E"/>
    <w:rsid w:val="0041310F"/>
    <w:rsid w:val="004356EA"/>
    <w:rsid w:val="00494590"/>
    <w:rsid w:val="004F7AAC"/>
    <w:rsid w:val="00504253"/>
    <w:rsid w:val="00504F40"/>
    <w:rsid w:val="00517647"/>
    <w:rsid w:val="00530468"/>
    <w:rsid w:val="005739CE"/>
    <w:rsid w:val="005D6472"/>
    <w:rsid w:val="00640F7F"/>
    <w:rsid w:val="0072000D"/>
    <w:rsid w:val="007A2199"/>
    <w:rsid w:val="008371E8"/>
    <w:rsid w:val="00850EC6"/>
    <w:rsid w:val="008B150E"/>
    <w:rsid w:val="009B660C"/>
    <w:rsid w:val="009D5D5E"/>
    <w:rsid w:val="00A2151A"/>
    <w:rsid w:val="00A97031"/>
    <w:rsid w:val="00B230A7"/>
    <w:rsid w:val="00B85255"/>
    <w:rsid w:val="00BD3145"/>
    <w:rsid w:val="00C10B11"/>
    <w:rsid w:val="00C70D72"/>
    <w:rsid w:val="00C7166B"/>
    <w:rsid w:val="00CC273F"/>
    <w:rsid w:val="00D21FAC"/>
    <w:rsid w:val="00DE5328"/>
    <w:rsid w:val="00DE703C"/>
    <w:rsid w:val="00F92A6B"/>
    <w:rsid w:val="00FB3624"/>
    <w:rsid w:val="00FC0BE6"/>
    <w:rsid w:val="00FF5F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3672"/>
  <w15:docId w15:val="{F74F18F4-5705-0846-8720-FA409988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45E5"/>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59"/>
    <w:rsid w:val="001E45E5"/>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1E45E5"/>
    <w:rPr>
      <w:rFonts w:asciiTheme="minorHAnsi" w:hAnsiTheme="minorHAnsi" w:cstheme="minorBidi"/>
      <w:sz w:val="22"/>
      <w:szCs w:val="22"/>
    </w:rPr>
  </w:style>
  <w:style w:type="character" w:styleId="Hyperlink">
    <w:name w:val="Hyperlink"/>
    <w:basedOn w:val="DefaultParagraphFont"/>
    <w:uiPriority w:val="99"/>
    <w:unhideWhenUsed/>
    <w:rsid w:val="0019187B"/>
    <w:rPr>
      <w:color w:val="0563C1" w:themeColor="hyperlink"/>
      <w:u w:val="single"/>
    </w:rPr>
  </w:style>
  <w:style w:type="character" w:styleId="PlaceholderText">
    <w:name w:val="Placeholder Text"/>
    <w:basedOn w:val="DefaultParagraphFont"/>
    <w:uiPriority w:val="99"/>
    <w:semiHidden/>
    <w:rsid w:val="00C70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stats.co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si-stats.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tintle\Dropbox\Research%20and%20Teaching\Ongoing%20textbook%20discussion\Dropbox%20folders\isi%20stats\ISI%202\fall%202018\new%20chapters\chapter%204\genetics.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tintle\Dropbox\Research%20and%20Teaching\Human%20Genetics\Ongoing%20Projects\FFAR4%20-%20digging%20in\From%20jenna\rs7282097_FCTNL_SH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Variation in AA:dgLA</a:t>
            </a:r>
            <a:r>
              <a:rPr lang="en-US" baseline="0"/>
              <a:t> levels explained by FADS </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98-43B8-A9A4-719B0C472E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98-43B8-A9A4-719B0C472EA3}"/>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genetics!$M$2355:$M$2356</c:f>
              <c:strCache>
                <c:ptCount val="2"/>
                <c:pt idx="0">
                  <c:v>FADS</c:v>
                </c:pt>
                <c:pt idx="1">
                  <c:v>Unexplained</c:v>
                </c:pt>
              </c:strCache>
            </c:strRef>
          </c:cat>
          <c:val>
            <c:numRef>
              <c:f>genetics!$N$2355:$N$2356</c:f>
              <c:numCache>
                <c:formatCode>0.00%</c:formatCode>
                <c:ptCount val="2"/>
                <c:pt idx="0">
                  <c:v>0.38764967168791037</c:v>
                </c:pt>
                <c:pt idx="1">
                  <c:v>0.61235032831208969</c:v>
                </c:pt>
              </c:numCache>
            </c:numRef>
          </c:val>
          <c:extLst>
            <c:ext xmlns:c16="http://schemas.microsoft.com/office/drawing/2014/chart" uri="{C3380CC4-5D6E-409C-BE32-E72D297353CC}">
              <c16:uniqueId val="{00000004-6B98-43B8-A9A4-719B0C472EA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Observed mean fractional shortening by EPA level and presence/absence</a:t>
            </a:r>
            <a:r>
              <a:rPr lang="en-US" baseline="0"/>
              <a:t> of rare </a:t>
            </a:r>
          </a:p>
          <a:p>
            <a:pPr>
              <a:defRPr sz="1400" b="0" i="0" u="none" strike="noStrike" kern="1200" spc="0" baseline="0">
                <a:solidFill>
                  <a:schemeClr val="tx1">
                    <a:lumMod val="65000"/>
                    <a:lumOff val="35000"/>
                  </a:schemeClr>
                </a:solidFill>
                <a:latin typeface="+mn-lt"/>
                <a:ea typeface="+mn-ea"/>
                <a:cs typeface="+mn-cs"/>
              </a:defRPr>
            </a:pPr>
            <a:r>
              <a:rPr lang="en-US" baseline="0"/>
              <a:t>polymorphisms in FFAR4</a:t>
            </a:r>
            <a:endParaRPr lang="en-US"/>
          </a:p>
        </c:rich>
      </c:tx>
      <c:overlay val="0"/>
      <c:spPr>
        <a:noFill/>
        <a:ln>
          <a:noFill/>
        </a:ln>
        <a:effectLst/>
      </c:spPr>
    </c:title>
    <c:autoTitleDeleted val="0"/>
    <c:plotArea>
      <c:layout/>
      <c:barChart>
        <c:barDir val="col"/>
        <c:grouping val="clustered"/>
        <c:varyColors val="0"/>
        <c:ser>
          <c:idx val="0"/>
          <c:order val="0"/>
          <c:tx>
            <c:v>No effect alleles</c:v>
          </c:tx>
          <c:spPr>
            <a:solidFill>
              <a:schemeClr val="accent1"/>
            </a:solidFill>
            <a:ln>
              <a:noFill/>
            </a:ln>
            <a:effectLst/>
          </c:spPr>
          <c:invertIfNegative val="0"/>
          <c:cat>
            <c:strRef>
              <c:f>Sheet1!$U$3:$X$3</c:f>
              <c:strCache>
                <c:ptCount val="3"/>
                <c:pt idx="0">
                  <c:v>EPA&lt;0.005</c:v>
                </c:pt>
                <c:pt idx="1">
                  <c:v>EPA 0.005-0.01</c:v>
                </c:pt>
                <c:pt idx="2">
                  <c:v>EPA 0.01+</c:v>
                </c:pt>
              </c:strCache>
              <c:extLst/>
            </c:strRef>
          </c:cat>
          <c:val>
            <c:numRef>
              <c:f>Sheet1!$U$4:$X$4</c:f>
              <c:numCache>
                <c:formatCode>General</c:formatCode>
                <c:ptCount val="3"/>
                <c:pt idx="0">
                  <c:v>36.85</c:v>
                </c:pt>
                <c:pt idx="1">
                  <c:v>37.46</c:v>
                </c:pt>
                <c:pt idx="2">
                  <c:v>38.08</c:v>
                </c:pt>
              </c:numCache>
              <c:extLst/>
            </c:numRef>
          </c:val>
          <c:extLst>
            <c:ext xmlns:c16="http://schemas.microsoft.com/office/drawing/2014/chart" uri="{C3380CC4-5D6E-409C-BE32-E72D297353CC}">
              <c16:uniqueId val="{00000000-F3F2-4C93-BB48-3B7A3147ED11}"/>
            </c:ext>
          </c:extLst>
        </c:ser>
        <c:ser>
          <c:idx val="1"/>
          <c:order val="1"/>
          <c:tx>
            <c:v>One effect allele</c:v>
          </c:tx>
          <c:spPr>
            <a:solidFill>
              <a:schemeClr val="accent2"/>
            </a:solidFill>
            <a:ln>
              <a:noFill/>
            </a:ln>
            <a:effectLst/>
          </c:spPr>
          <c:invertIfNegative val="0"/>
          <c:cat>
            <c:strRef>
              <c:f>Sheet1!$U$3:$X$3</c:f>
              <c:strCache>
                <c:ptCount val="3"/>
                <c:pt idx="0">
                  <c:v>EPA&lt;0.005</c:v>
                </c:pt>
                <c:pt idx="1">
                  <c:v>EPA 0.005-0.01</c:v>
                </c:pt>
                <c:pt idx="2">
                  <c:v>EPA 0.01+</c:v>
                </c:pt>
              </c:strCache>
              <c:extLst/>
            </c:strRef>
          </c:cat>
          <c:val>
            <c:numRef>
              <c:f>Sheet1!$U$5:$X$5</c:f>
              <c:numCache>
                <c:formatCode>General</c:formatCode>
                <c:ptCount val="3"/>
                <c:pt idx="0">
                  <c:v>36.96</c:v>
                </c:pt>
                <c:pt idx="1">
                  <c:v>37.08</c:v>
                </c:pt>
                <c:pt idx="2">
                  <c:v>35.44</c:v>
                </c:pt>
              </c:numCache>
              <c:extLst/>
            </c:numRef>
          </c:val>
          <c:extLst>
            <c:ext xmlns:c16="http://schemas.microsoft.com/office/drawing/2014/chart" uri="{C3380CC4-5D6E-409C-BE32-E72D297353CC}">
              <c16:uniqueId val="{00000001-F3F2-4C93-BB48-3B7A3147ED11}"/>
            </c:ext>
          </c:extLst>
        </c:ser>
        <c:dLbls>
          <c:showLegendKey val="0"/>
          <c:showVal val="0"/>
          <c:showCatName val="0"/>
          <c:showSerName val="0"/>
          <c:showPercent val="0"/>
          <c:showBubbleSize val="0"/>
        </c:dLbls>
        <c:gapWidth val="219"/>
        <c:overlap val="-27"/>
        <c:axId val="182985856"/>
        <c:axId val="182987392"/>
        <c:extLst>
          <c:ext xmlns:c15="http://schemas.microsoft.com/office/drawing/2012/chart" uri="{02D57815-91ED-43cb-92C2-25804820EDAC}">
            <c15:filteredBarSeries>
              <c15:ser>
                <c:idx val="2"/>
                <c:order val="2"/>
                <c:spPr>
                  <a:solidFill>
                    <a:schemeClr val="accent3"/>
                  </a:solidFill>
                  <a:ln>
                    <a:noFill/>
                  </a:ln>
                  <a:effectLst/>
                </c:spPr>
                <c:invertIfNegative val="0"/>
                <c:cat>
                  <c:strRef>
                    <c:extLst>
                      <c:ext uri="{02D57815-91ED-43cb-92C2-25804820EDAC}">
                        <c15:formulaRef>
                          <c15:sqref>Sheet1!$U$3:$X$3</c15:sqref>
                        </c15:formulaRef>
                      </c:ext>
                    </c:extLst>
                    <c:strCache>
                      <c:ptCount val="3"/>
                      <c:pt idx="0">
                        <c:v>EPA&lt;0.005</c:v>
                      </c:pt>
                      <c:pt idx="1">
                        <c:v>EPA 0.005-0.01</c:v>
                      </c:pt>
                      <c:pt idx="2">
                        <c:v>EPA 0.01+</c:v>
                      </c:pt>
                    </c:strCache>
                  </c:strRef>
                </c:cat>
                <c:val>
                  <c:numRef>
                    <c:extLst>
                      <c:ext uri="{02D57815-91ED-43cb-92C2-25804820EDAC}">
                        <c15:formulaRef>
                          <c15:sqref>Sheet1!$U$6:$X$6</c15:sqref>
                        </c15:formulaRef>
                      </c:ext>
                    </c:extLst>
                    <c:numCache>
                      <c:formatCode>General</c:formatCode>
                      <c:ptCount val="3"/>
                      <c:pt idx="0">
                        <c:v>33.93</c:v>
                      </c:pt>
                      <c:pt idx="1">
                        <c:v>37.880000000000003</c:v>
                      </c:pt>
                      <c:pt idx="2">
                        <c:v>35.15</c:v>
                      </c:pt>
                    </c:numCache>
                  </c:numRef>
                </c:val>
                <c:extLst>
                  <c:ext xmlns:c16="http://schemas.microsoft.com/office/drawing/2014/chart" uri="{C3380CC4-5D6E-409C-BE32-E72D297353CC}">
                    <c16:uniqueId val="{00000002-F3F2-4C93-BB48-3B7A3147ED11}"/>
                  </c:ext>
                </c:extLst>
              </c15:ser>
            </c15:filteredBarSeries>
          </c:ext>
        </c:extLst>
      </c:barChart>
      <c:catAx>
        <c:axId val="1829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87392"/>
        <c:crosses val="autoZero"/>
        <c:auto val="1"/>
        <c:lblAlgn val="ctr"/>
        <c:lblOffset val="100"/>
        <c:noMultiLvlLbl val="0"/>
      </c:catAx>
      <c:valAx>
        <c:axId val="18298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8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 Chance</dc:creator>
  <cp:lastModifiedBy>Carey III, Robert Patrick</cp:lastModifiedBy>
  <cp:revision>2</cp:revision>
  <dcterms:created xsi:type="dcterms:W3CDTF">2018-11-08T19:52:00Z</dcterms:created>
  <dcterms:modified xsi:type="dcterms:W3CDTF">2018-11-08T19:52:00Z</dcterms:modified>
</cp:coreProperties>
</file>